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jc w:val="center"/>
        <w:rPr>
          <w:rFonts w:hint="eastAsia" w:ascii="方正小标宋简体" w:hAnsi="方正小标宋简体" w:eastAsia="方正小标宋简体" w:cs="方正小标宋简体"/>
          <w:color w:val="000000"/>
          <w:kern w:val="0"/>
          <w:sz w:val="32"/>
          <w:szCs w:val="32"/>
          <w:lang w:val="en-US" w:eastAsia="zh-CN"/>
        </w:rPr>
      </w:pPr>
      <w:r>
        <w:rPr>
          <w:rFonts w:hint="eastAsia" w:ascii="方正小标宋简体" w:hAnsi="方正小标宋简体" w:eastAsia="方正小标宋简体" w:cs="方正小标宋简体"/>
          <w:color w:val="000000"/>
          <w:kern w:val="0"/>
          <w:sz w:val="32"/>
          <w:szCs w:val="32"/>
          <w:lang w:val="en-US" w:eastAsia="zh-CN"/>
        </w:rPr>
        <w:t>采购内容</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竞标人需根据采购人需求</w:t>
      </w:r>
      <w:r>
        <w:rPr>
          <w:rFonts w:hint="eastAsia" w:ascii="仿宋_GB2312" w:hAnsi="宋体" w:eastAsia="仿宋_GB2312" w:cs="宋体"/>
          <w:color w:val="000000"/>
          <w:kern w:val="0"/>
          <w:sz w:val="32"/>
          <w:szCs w:val="32"/>
          <w:lang w:val="en-US" w:eastAsia="zh-CN"/>
        </w:rPr>
        <w:t>对项目进行第三方测试</w:t>
      </w:r>
      <w:r>
        <w:rPr>
          <w:rFonts w:hint="eastAsia" w:ascii="仿宋_GB2312" w:hAnsi="宋体" w:eastAsia="仿宋_GB2312" w:cs="宋体"/>
          <w:color w:val="000000"/>
          <w:kern w:val="0"/>
          <w:sz w:val="32"/>
          <w:szCs w:val="32"/>
        </w:rPr>
        <w:t>，对检测清单中的内容在国产整机上进行功能、安全可靠性、易用性、兼容性、资源占用率、响应时间、可扩充性和用户文档等质量特性进行了全面、严格的测试；以及相关硬件设备的功能、性能检测。确保本项目软硬件功能正常，并出具国家认可的具备检测资格的第三方检测报告，</w:t>
      </w:r>
      <w:bookmarkStart w:id="0" w:name="_GoBack"/>
      <w:bookmarkEnd w:id="0"/>
      <w:r>
        <w:rPr>
          <w:rFonts w:hint="eastAsia" w:ascii="仿宋_GB2312" w:hAnsi="宋体" w:eastAsia="仿宋_GB2312" w:cs="宋体"/>
          <w:color w:val="000000"/>
          <w:kern w:val="0"/>
          <w:sz w:val="32"/>
          <w:szCs w:val="32"/>
        </w:rPr>
        <w:t>配合</w:t>
      </w:r>
      <w:r>
        <w:rPr>
          <w:rFonts w:hint="eastAsia" w:ascii="仿宋_GB2312" w:hAnsi="宋体" w:eastAsia="仿宋_GB2312" w:cs="宋体"/>
          <w:color w:val="000000"/>
          <w:kern w:val="0"/>
          <w:sz w:val="32"/>
          <w:szCs w:val="32"/>
          <w:lang w:val="en-US" w:eastAsia="zh-CN"/>
        </w:rPr>
        <w:t>采购人</w:t>
      </w:r>
      <w:r>
        <w:rPr>
          <w:rFonts w:hint="eastAsia" w:ascii="仿宋_GB2312" w:hAnsi="宋体" w:eastAsia="仿宋_GB2312" w:cs="宋体"/>
          <w:color w:val="000000"/>
          <w:kern w:val="0"/>
          <w:sz w:val="32"/>
          <w:szCs w:val="32"/>
        </w:rPr>
        <w:t>完成项目的初验、终验、三方检测的专家评审工作。检测清单如下：</w:t>
      </w:r>
    </w:p>
    <w:tbl>
      <w:tblPr>
        <w:tblStyle w:val="4"/>
        <w:tblW w:w="8353" w:type="dxa"/>
        <w:tblCellSpacing w:w="15"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946"/>
        <w:gridCol w:w="1268"/>
        <w:gridCol w:w="4210"/>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CellSpacing w:w="15" w:type="dxa"/>
        </w:trPr>
        <w:tc>
          <w:tcPr>
            <w:tcW w:w="545"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widowControl/>
              <w:jc w:val="center"/>
              <w:rPr>
                <w:rFonts w:ascii="仿宋_GB2312" w:hAnsi="仿宋_GB2312" w:eastAsia="仿宋_GB2312" w:cs="仿宋_GB2312"/>
                <w:kern w:val="0"/>
                <w:sz w:val="28"/>
                <w:szCs w:val="28"/>
              </w:rPr>
            </w:pPr>
            <w:r>
              <w:rPr>
                <w:rFonts w:hint="eastAsia" w:ascii="宋体" w:hAnsi="宋体" w:cs="宋体"/>
                <w:b/>
                <w:kern w:val="0"/>
                <w:sz w:val="24"/>
              </w:rPr>
              <w:t>序号</w:t>
            </w:r>
          </w:p>
        </w:tc>
        <w:tc>
          <w:tcPr>
            <w:tcW w:w="916"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widowControl/>
              <w:jc w:val="center"/>
              <w:rPr>
                <w:rFonts w:ascii="仿宋_GB2312" w:hAnsi="仿宋_GB2312" w:eastAsia="仿宋_GB2312" w:cs="仿宋_GB2312"/>
                <w:kern w:val="0"/>
                <w:sz w:val="28"/>
                <w:szCs w:val="28"/>
              </w:rPr>
            </w:pPr>
            <w:r>
              <w:rPr>
                <w:rFonts w:hint="eastAsia" w:ascii="宋体" w:hAnsi="宋体" w:cs="宋体"/>
                <w:b/>
                <w:color w:val="000000"/>
                <w:kern w:val="0"/>
                <w:sz w:val="24"/>
              </w:rPr>
              <w:t>产品名称</w:t>
            </w:r>
          </w:p>
        </w:tc>
        <w:tc>
          <w:tcPr>
            <w:tcW w:w="1238"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widowControl/>
              <w:jc w:val="center"/>
              <w:rPr>
                <w:rFonts w:ascii="仿宋_GB2312" w:hAnsi="仿宋_GB2312" w:eastAsia="仿宋_GB2312" w:cs="仿宋_GB2312"/>
                <w:kern w:val="0"/>
                <w:sz w:val="28"/>
                <w:szCs w:val="28"/>
              </w:rPr>
            </w:pPr>
            <w:r>
              <w:rPr>
                <w:rFonts w:hint="eastAsia" w:ascii="宋体" w:hAnsi="宋体" w:cs="宋体"/>
                <w:b/>
                <w:color w:val="000000"/>
                <w:kern w:val="0"/>
                <w:sz w:val="24"/>
              </w:rPr>
              <w:t>规格</w:t>
            </w:r>
          </w:p>
        </w:tc>
        <w:tc>
          <w:tcPr>
            <w:tcW w:w="4180"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widowControl/>
              <w:jc w:val="center"/>
              <w:rPr>
                <w:rFonts w:ascii="仿宋_GB2312" w:hAnsi="仿宋_GB2312" w:eastAsia="仿宋_GB2312" w:cs="仿宋_GB2312"/>
                <w:kern w:val="0"/>
                <w:sz w:val="28"/>
                <w:szCs w:val="28"/>
              </w:rPr>
            </w:pPr>
            <w:r>
              <w:rPr>
                <w:rFonts w:hint="eastAsia" w:ascii="宋体" w:hAnsi="宋体" w:cs="宋体"/>
                <w:b/>
                <w:color w:val="000000"/>
                <w:kern w:val="0"/>
                <w:sz w:val="24"/>
              </w:rPr>
              <w:t>参数</w:t>
            </w:r>
          </w:p>
        </w:tc>
        <w:tc>
          <w:tcPr>
            <w:tcW w:w="1294"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CellSpacing w:w="15" w:type="dxa"/>
        </w:trPr>
        <w:tc>
          <w:tcPr>
            <w:tcW w:w="545"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1</w:t>
            </w:r>
          </w:p>
        </w:tc>
        <w:tc>
          <w:tcPr>
            <w:tcW w:w="916"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b/>
                <w:kern w:val="0"/>
                <w:sz w:val="28"/>
                <w:szCs w:val="28"/>
              </w:rPr>
            </w:pPr>
            <w:r>
              <w:rPr>
                <w:rFonts w:hint="eastAsia" w:ascii="宋体" w:hAnsi="宋体" w:eastAsia="宋体" w:cs="宋体"/>
                <w:sz w:val="20"/>
                <w:szCs w:val="20"/>
              </w:rPr>
              <w:t>便携式计算机</w:t>
            </w:r>
          </w:p>
        </w:tc>
        <w:tc>
          <w:tcPr>
            <w:tcW w:w="1238"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同方超锐 TL411-V3</w:t>
            </w:r>
          </w:p>
        </w:tc>
        <w:tc>
          <w:tcPr>
            <w:tcW w:w="4180"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left"/>
              <w:rPr>
                <w:rFonts w:ascii="仿宋_GB2312" w:hAnsi="仿宋_GB2312" w:eastAsia="仿宋_GB2312" w:cs="仿宋_GB2312"/>
                <w:kern w:val="0"/>
                <w:sz w:val="28"/>
                <w:szCs w:val="28"/>
              </w:rPr>
            </w:pPr>
            <w:r>
              <w:rPr>
                <w:rFonts w:hint="eastAsia" w:ascii="宋体" w:hAnsi="宋体" w:eastAsia="宋体" w:cs="宋体"/>
                <w:sz w:val="20"/>
                <w:szCs w:val="20"/>
              </w:rPr>
              <w:t>主频1.2GHz;核数4核;内存8GB;硬盘256G;显示器14寸:显存2GB产品已入围《安可替代工程核心产品名录-1-2020》专用产品计算机终端类。</w:t>
            </w:r>
          </w:p>
        </w:tc>
        <w:tc>
          <w:tcPr>
            <w:tcW w:w="1294"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宋体" w:hAnsi="宋体" w:eastAsia="宋体" w:cs="宋体"/>
                <w:sz w:val="20"/>
                <w:szCs w:val="20"/>
              </w:rPr>
            </w:pPr>
            <w:r>
              <w:rPr>
                <w:rFonts w:hint="eastAsia" w:ascii="宋体" w:hAnsi="宋体" w:eastAsia="宋体" w:cs="宋体"/>
                <w:color w:val="000000"/>
                <w:kern w:val="0"/>
                <w:sz w:val="20"/>
                <w:szCs w:val="20"/>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CellSpacing w:w="15" w:type="dxa"/>
        </w:trPr>
        <w:tc>
          <w:tcPr>
            <w:tcW w:w="545"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宋体" w:hAnsi="宋体" w:eastAsia="宋体" w:cs="宋体"/>
                <w:sz w:val="20"/>
                <w:szCs w:val="20"/>
              </w:rPr>
            </w:pPr>
          </w:p>
          <w:p>
            <w:pPr>
              <w:jc w:val="center"/>
              <w:rPr>
                <w:rFonts w:ascii="仿宋_GB2312" w:hAnsi="仿宋_GB2312" w:eastAsia="仿宋_GB2312" w:cs="仿宋_GB2312"/>
                <w:kern w:val="0"/>
                <w:sz w:val="28"/>
                <w:szCs w:val="28"/>
              </w:rPr>
            </w:pPr>
            <w:r>
              <w:rPr>
                <w:rFonts w:hint="eastAsia" w:ascii="宋体" w:hAnsi="宋体" w:eastAsia="宋体" w:cs="宋体"/>
                <w:sz w:val="20"/>
                <w:szCs w:val="20"/>
              </w:rPr>
              <w:t>2</w:t>
            </w:r>
          </w:p>
        </w:tc>
        <w:tc>
          <w:tcPr>
            <w:tcW w:w="916"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台式计算机</w:t>
            </w:r>
          </w:p>
        </w:tc>
        <w:tc>
          <w:tcPr>
            <w:tcW w:w="1238"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宋体" w:hAnsi="宋体" w:eastAsia="宋体" w:cs="宋体"/>
                <w:sz w:val="20"/>
                <w:szCs w:val="20"/>
              </w:rPr>
            </w:pPr>
            <w:r>
              <w:rPr>
                <w:rFonts w:hint="eastAsia" w:ascii="宋体" w:hAnsi="宋体" w:eastAsia="宋体" w:cs="宋体"/>
                <w:sz w:val="20"/>
                <w:szCs w:val="20"/>
              </w:rPr>
              <w:t>主机：宝德 PT620K</w:t>
            </w:r>
          </w:p>
          <w:p>
            <w:pPr>
              <w:jc w:val="center"/>
              <w:rPr>
                <w:rFonts w:ascii="仿宋_GB2312" w:hAnsi="仿宋_GB2312" w:eastAsia="仿宋_GB2312" w:cs="仿宋_GB2312"/>
                <w:kern w:val="0"/>
                <w:sz w:val="28"/>
                <w:szCs w:val="28"/>
              </w:rPr>
            </w:pPr>
            <w:r>
              <w:rPr>
                <w:rFonts w:hint="eastAsia" w:ascii="宋体" w:hAnsi="宋体" w:eastAsia="宋体" w:cs="宋体"/>
                <w:sz w:val="20"/>
                <w:szCs w:val="20"/>
              </w:rPr>
              <w:t>显示器：宝德W2402S</w:t>
            </w:r>
          </w:p>
        </w:tc>
        <w:tc>
          <w:tcPr>
            <w:tcW w:w="4180"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left"/>
              <w:rPr>
                <w:rFonts w:ascii="仿宋_GB2312" w:hAnsi="仿宋_GB2312" w:eastAsia="仿宋_GB2312" w:cs="仿宋_GB2312"/>
                <w:kern w:val="0"/>
                <w:sz w:val="28"/>
                <w:szCs w:val="28"/>
              </w:rPr>
            </w:pPr>
            <w:r>
              <w:rPr>
                <w:rFonts w:hint="eastAsia" w:ascii="宋体" w:hAnsi="宋体" w:eastAsia="宋体" w:cs="宋体"/>
                <w:sz w:val="20"/>
                <w:szCs w:val="20"/>
              </w:rPr>
              <w:t>主频2.6GHz;核数8核;内存8GB*2；硬盘256GBSSD;显存4G ；USB6个；RJ45 1000Mps 网卡*1；显示器品牌型号：宝德 W2402S 23.8寸。产品已入围《安可替代工程核心产品名录-1-2020》专用产品计算机终端类。</w:t>
            </w:r>
          </w:p>
        </w:tc>
        <w:tc>
          <w:tcPr>
            <w:tcW w:w="1294"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宋体" w:hAnsi="宋体" w:eastAsia="宋体" w:cs="宋体"/>
                <w:sz w:val="20"/>
                <w:szCs w:val="20"/>
              </w:rPr>
            </w:pPr>
            <w:r>
              <w:rPr>
                <w:rFonts w:hint="eastAsia" w:ascii="宋体" w:hAnsi="宋体" w:eastAsia="宋体" w:cs="宋体"/>
                <w:color w:val="000000"/>
                <w:kern w:val="0"/>
                <w:sz w:val="20"/>
                <w:szCs w:val="20"/>
              </w:rPr>
              <w:t>90（台）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CellSpacing w:w="15" w:type="dxa"/>
        </w:trPr>
        <w:tc>
          <w:tcPr>
            <w:tcW w:w="545"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3</w:t>
            </w:r>
          </w:p>
        </w:tc>
        <w:tc>
          <w:tcPr>
            <w:tcW w:w="916"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操作系统</w:t>
            </w:r>
          </w:p>
        </w:tc>
        <w:tc>
          <w:tcPr>
            <w:tcW w:w="1238"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统信 UOS V20</w:t>
            </w:r>
          </w:p>
        </w:tc>
        <w:tc>
          <w:tcPr>
            <w:tcW w:w="4180"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left"/>
              <w:rPr>
                <w:rFonts w:ascii="仿宋_GB2312" w:hAnsi="仿宋_GB2312" w:eastAsia="仿宋_GB2312" w:cs="仿宋_GB2312"/>
                <w:kern w:val="0"/>
                <w:sz w:val="28"/>
                <w:szCs w:val="28"/>
              </w:rPr>
            </w:pPr>
            <w:r>
              <w:rPr>
                <w:rFonts w:hint="eastAsia" w:ascii="宋体" w:hAnsi="宋体" w:eastAsia="宋体" w:cs="宋体"/>
                <w:sz w:val="20"/>
                <w:szCs w:val="20"/>
              </w:rPr>
              <w:t>国产Linux系统，支持国产芯片。产品已入围《安可替代工程核心产品名录1-2020》基础通用产品操作系统类。</w:t>
            </w:r>
          </w:p>
        </w:tc>
        <w:tc>
          <w:tcPr>
            <w:tcW w:w="1294"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宋体" w:hAnsi="宋体" w:eastAsia="宋体" w:cs="宋体"/>
                <w:sz w:val="20"/>
                <w:szCs w:val="20"/>
              </w:rPr>
            </w:pPr>
            <w:r>
              <w:rPr>
                <w:rFonts w:hint="eastAsia" w:ascii="宋体" w:hAnsi="宋体" w:eastAsia="宋体" w:cs="宋体"/>
                <w:color w:val="000000"/>
                <w:kern w:val="0"/>
                <w:sz w:val="20"/>
                <w:szCs w:val="20"/>
              </w:rPr>
              <w:t>97（套）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CellSpacing w:w="15" w:type="dxa"/>
        </w:trPr>
        <w:tc>
          <w:tcPr>
            <w:tcW w:w="545"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4</w:t>
            </w:r>
          </w:p>
        </w:tc>
        <w:tc>
          <w:tcPr>
            <w:tcW w:w="916"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办公套件</w:t>
            </w:r>
          </w:p>
        </w:tc>
        <w:tc>
          <w:tcPr>
            <w:tcW w:w="1238"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数科 OFD 文档处理软件 V3.0</w:t>
            </w:r>
          </w:p>
        </w:tc>
        <w:tc>
          <w:tcPr>
            <w:tcW w:w="4180"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left"/>
              <w:rPr>
                <w:rFonts w:ascii="仿宋_GB2312" w:hAnsi="仿宋_GB2312" w:eastAsia="仿宋_GB2312" w:cs="仿宋_GB2312"/>
                <w:kern w:val="0"/>
                <w:sz w:val="28"/>
                <w:szCs w:val="28"/>
              </w:rPr>
            </w:pPr>
            <w:r>
              <w:rPr>
                <w:rFonts w:hint="eastAsia" w:ascii="宋体" w:hAnsi="宋体" w:eastAsia="宋体" w:cs="宋体"/>
                <w:sz w:val="20"/>
                <w:szCs w:val="20"/>
              </w:rPr>
              <w:t>用于处理OFD格式文件的版式办公软件。主要功能包软件 括:阅读、编辑、保存、打印。产品已入围安可替代工程适配产品清单基础通用产品-1-2020》办公软件类。</w:t>
            </w:r>
          </w:p>
        </w:tc>
        <w:tc>
          <w:tcPr>
            <w:tcW w:w="1294"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宋体" w:hAnsi="宋体" w:eastAsia="宋体" w:cs="宋体"/>
                <w:sz w:val="20"/>
                <w:szCs w:val="20"/>
              </w:rPr>
            </w:pPr>
            <w:r>
              <w:rPr>
                <w:rFonts w:hint="eastAsia" w:ascii="宋体" w:hAnsi="宋体" w:eastAsia="宋体" w:cs="宋体"/>
                <w:color w:val="000000"/>
                <w:kern w:val="0"/>
                <w:sz w:val="20"/>
                <w:szCs w:val="20"/>
              </w:rPr>
              <w:t>97（套）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CellSpacing w:w="15" w:type="dxa"/>
        </w:trPr>
        <w:tc>
          <w:tcPr>
            <w:tcW w:w="545"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5</w:t>
            </w:r>
          </w:p>
        </w:tc>
        <w:tc>
          <w:tcPr>
            <w:tcW w:w="916"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信息安全软件</w:t>
            </w:r>
          </w:p>
        </w:tc>
        <w:tc>
          <w:tcPr>
            <w:tcW w:w="1238"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奇虎 360 终端安全防护系统 V10.0</w:t>
            </w:r>
          </w:p>
        </w:tc>
        <w:tc>
          <w:tcPr>
            <w:tcW w:w="4180"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left"/>
              <w:rPr>
                <w:rFonts w:ascii="仿宋_GB2312" w:hAnsi="仿宋_GB2312" w:eastAsia="仿宋_GB2312" w:cs="仿宋_GB2312"/>
                <w:kern w:val="0"/>
                <w:sz w:val="28"/>
                <w:szCs w:val="28"/>
              </w:rPr>
            </w:pPr>
            <w:r>
              <w:rPr>
                <w:rFonts w:hint="eastAsia" w:ascii="宋体" w:hAnsi="宋体" w:eastAsia="宋体" w:cs="宋体"/>
                <w:sz w:val="20"/>
                <w:szCs w:val="20"/>
              </w:rPr>
              <w:t>客户端操作系统支持国产化操作系统，同时支持主流国产化处理器，产品必须通过国家计算机病毒应急处理中心检测，客户端支持国产化操作系统计算机终端和服务器国产化硬件</w:t>
            </w:r>
          </w:p>
        </w:tc>
        <w:tc>
          <w:tcPr>
            <w:tcW w:w="1294"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宋体" w:hAnsi="宋体" w:eastAsia="宋体" w:cs="宋体"/>
                <w:sz w:val="20"/>
                <w:szCs w:val="20"/>
              </w:rPr>
            </w:pPr>
            <w:r>
              <w:rPr>
                <w:rFonts w:hint="eastAsia" w:ascii="宋体" w:hAnsi="宋体" w:eastAsia="宋体" w:cs="宋体"/>
                <w:color w:val="000000"/>
                <w:kern w:val="0"/>
                <w:sz w:val="20"/>
                <w:szCs w:val="20"/>
              </w:rPr>
              <w:t>97（套）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CellSpacing w:w="15" w:type="dxa"/>
        </w:trPr>
        <w:tc>
          <w:tcPr>
            <w:tcW w:w="545"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6</w:t>
            </w:r>
          </w:p>
        </w:tc>
        <w:tc>
          <w:tcPr>
            <w:tcW w:w="916"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其他基础软件</w:t>
            </w:r>
          </w:p>
        </w:tc>
        <w:tc>
          <w:tcPr>
            <w:tcW w:w="1238"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奇虎 360 安全浏览器 V10</w:t>
            </w:r>
          </w:p>
        </w:tc>
        <w:tc>
          <w:tcPr>
            <w:tcW w:w="4180"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left"/>
              <w:rPr>
                <w:rFonts w:ascii="仿宋_GB2312" w:hAnsi="仿宋_GB2312" w:eastAsia="仿宋_GB2312" w:cs="仿宋_GB2312"/>
                <w:kern w:val="0"/>
                <w:sz w:val="28"/>
                <w:szCs w:val="28"/>
              </w:rPr>
            </w:pPr>
            <w:r>
              <w:rPr>
                <w:rFonts w:hint="eastAsia" w:ascii="宋体" w:hAnsi="宋体" w:eastAsia="宋体" w:cs="宋体"/>
                <w:sz w:val="20"/>
                <w:szCs w:val="20"/>
              </w:rPr>
              <w:t>基于主流Blink渲染引擎,极速渲染，实现对现有业务系统的兼容性适配，支持《智能密码钥匙应用接口规范》(GM/T 0016- -2012)、支持国产商密协议。符合《SSL VPN技术规范》(GM/T 0024-2014)的SSL VPN网关设备，支持通过国密SKF 接口访问硬件数字证书</w:t>
            </w:r>
          </w:p>
        </w:tc>
        <w:tc>
          <w:tcPr>
            <w:tcW w:w="1294"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宋体" w:hAnsi="宋体" w:eastAsia="宋体" w:cs="宋体"/>
                <w:sz w:val="20"/>
                <w:szCs w:val="20"/>
              </w:rPr>
            </w:pPr>
            <w:r>
              <w:rPr>
                <w:rFonts w:hint="eastAsia" w:ascii="宋体" w:hAnsi="宋体" w:eastAsia="宋体" w:cs="宋体"/>
                <w:color w:val="000000"/>
                <w:kern w:val="0"/>
                <w:sz w:val="20"/>
                <w:szCs w:val="20"/>
              </w:rPr>
              <w:t>97（套）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CellSpacing w:w="15" w:type="dxa"/>
        </w:trPr>
        <w:tc>
          <w:tcPr>
            <w:tcW w:w="545"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7</w:t>
            </w:r>
          </w:p>
        </w:tc>
        <w:tc>
          <w:tcPr>
            <w:tcW w:w="916"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b/>
                <w:kern w:val="0"/>
                <w:sz w:val="28"/>
                <w:szCs w:val="28"/>
              </w:rPr>
            </w:pPr>
            <w:r>
              <w:rPr>
                <w:rFonts w:hint="eastAsia" w:ascii="宋体" w:hAnsi="宋体" w:eastAsia="宋体" w:cs="宋体"/>
                <w:sz w:val="20"/>
                <w:szCs w:val="20"/>
              </w:rPr>
              <w:t>其他基础软件</w:t>
            </w:r>
          </w:p>
        </w:tc>
        <w:tc>
          <w:tcPr>
            <w:tcW w:w="1238"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奇虎 360 安全浏览器 V10</w:t>
            </w:r>
          </w:p>
        </w:tc>
        <w:tc>
          <w:tcPr>
            <w:tcW w:w="4180"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left"/>
              <w:rPr>
                <w:rFonts w:ascii="仿宋_GB2312" w:hAnsi="仿宋_GB2312" w:eastAsia="仿宋_GB2312" w:cs="仿宋_GB2312"/>
                <w:kern w:val="0"/>
                <w:sz w:val="28"/>
                <w:szCs w:val="28"/>
              </w:rPr>
            </w:pPr>
            <w:r>
              <w:rPr>
                <w:rFonts w:hint="eastAsia" w:ascii="宋体" w:hAnsi="宋体" w:eastAsia="宋体" w:cs="宋体"/>
                <w:sz w:val="20"/>
                <w:szCs w:val="20"/>
              </w:rPr>
              <w:t>NPAPI插件适配、页面适配、SSL 隧道适配</w:t>
            </w:r>
          </w:p>
        </w:tc>
        <w:tc>
          <w:tcPr>
            <w:tcW w:w="1294"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宋体" w:hAnsi="宋体" w:eastAsia="宋体" w:cs="宋体"/>
                <w:sz w:val="20"/>
                <w:szCs w:val="20"/>
              </w:rPr>
            </w:pPr>
            <w:r>
              <w:rPr>
                <w:rFonts w:hint="eastAsia" w:ascii="宋体" w:hAnsi="宋体" w:eastAsia="宋体" w:cs="宋体"/>
                <w:color w:val="000000"/>
                <w:kern w:val="0"/>
                <w:sz w:val="20"/>
                <w:szCs w:val="20"/>
              </w:rPr>
              <w:t>97（套）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CellSpacing w:w="15" w:type="dxa"/>
        </w:trPr>
        <w:tc>
          <w:tcPr>
            <w:tcW w:w="545"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8</w:t>
            </w:r>
          </w:p>
        </w:tc>
        <w:tc>
          <w:tcPr>
            <w:tcW w:w="916"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信息安全软件</w:t>
            </w:r>
          </w:p>
        </w:tc>
        <w:tc>
          <w:tcPr>
            <w:tcW w:w="1238"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宋体" w:hAnsi="宋体" w:eastAsia="宋体" w:cs="宋体"/>
                <w:sz w:val="20"/>
                <w:szCs w:val="20"/>
              </w:rPr>
            </w:pPr>
            <w:r>
              <w:rPr>
                <w:rFonts w:hint="eastAsia" w:ascii="宋体" w:hAnsi="宋体" w:eastAsia="宋体" w:cs="宋体"/>
                <w:sz w:val="20"/>
                <w:szCs w:val="20"/>
              </w:rPr>
              <w:t>飞天诚信</w:t>
            </w:r>
          </w:p>
          <w:p>
            <w:pPr>
              <w:jc w:val="center"/>
              <w:rPr>
                <w:rFonts w:ascii="仿宋_GB2312" w:hAnsi="仿宋_GB2312" w:eastAsia="仿宋_GB2312" w:cs="仿宋_GB2312"/>
                <w:kern w:val="0"/>
                <w:sz w:val="28"/>
                <w:szCs w:val="28"/>
              </w:rPr>
            </w:pPr>
            <w:r>
              <w:rPr>
                <w:rFonts w:hint="eastAsia" w:ascii="宋体" w:hAnsi="宋体" w:eastAsia="宋体" w:cs="宋体"/>
                <w:sz w:val="20"/>
                <w:szCs w:val="20"/>
              </w:rPr>
              <w:t>SJK1104-G 智能密码钥匙</w:t>
            </w:r>
          </w:p>
        </w:tc>
        <w:tc>
          <w:tcPr>
            <w:tcW w:w="4180"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left"/>
              <w:rPr>
                <w:rFonts w:ascii="宋体" w:hAnsi="宋体" w:eastAsia="宋体" w:cs="宋体"/>
                <w:sz w:val="20"/>
                <w:szCs w:val="20"/>
              </w:rPr>
            </w:pPr>
            <w:r>
              <w:rPr>
                <w:rFonts w:hint="eastAsia" w:ascii="宋体" w:hAnsi="宋体" w:eastAsia="宋体" w:cs="宋体"/>
                <w:sz w:val="20"/>
                <w:szCs w:val="20"/>
              </w:rPr>
              <w:t>支持SM2、SM3、SM4算法等:接口类型支持USB2.0或USB3.0;</w:t>
            </w:r>
          </w:p>
          <w:p>
            <w:pPr>
              <w:jc w:val="left"/>
              <w:rPr>
                <w:rFonts w:ascii="仿宋_GB2312" w:hAnsi="仿宋_GB2312" w:eastAsia="仿宋_GB2312" w:cs="仿宋_GB2312"/>
                <w:kern w:val="0"/>
                <w:sz w:val="28"/>
                <w:szCs w:val="28"/>
              </w:rPr>
            </w:pPr>
            <w:r>
              <w:rPr>
                <w:rFonts w:hint="eastAsia" w:ascii="宋体" w:hAnsi="宋体" w:eastAsia="宋体" w:cs="宋体"/>
                <w:sz w:val="20"/>
                <w:szCs w:val="20"/>
              </w:rPr>
              <w:t>支持ISO/IBC7816-1/2/3/4/5/6、 PKCS#11、CSP2.0、SKF 等规范</w:t>
            </w:r>
          </w:p>
        </w:tc>
        <w:tc>
          <w:tcPr>
            <w:tcW w:w="1294"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宋体" w:hAnsi="宋体" w:eastAsia="宋体" w:cs="宋体"/>
                <w:sz w:val="20"/>
                <w:szCs w:val="20"/>
              </w:rPr>
            </w:pPr>
            <w:r>
              <w:rPr>
                <w:rFonts w:hint="eastAsia" w:ascii="宋体" w:hAnsi="宋体" w:eastAsia="宋体" w:cs="宋体"/>
                <w:sz w:val="20"/>
                <w:szCs w:val="20"/>
              </w:rPr>
              <w:t>97（套）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CellSpacing w:w="15" w:type="dxa"/>
        </w:trPr>
        <w:tc>
          <w:tcPr>
            <w:tcW w:w="545"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仿宋_GB2312" w:hAnsi="仿宋_GB2312" w:eastAsia="仿宋_GB2312" w:cs="仿宋_GB2312"/>
                <w:kern w:val="0"/>
                <w:sz w:val="28"/>
                <w:szCs w:val="28"/>
              </w:rPr>
            </w:pPr>
            <w:r>
              <w:rPr>
                <w:rFonts w:hint="eastAsia" w:ascii="宋体" w:hAnsi="宋体" w:eastAsia="宋体" w:cs="宋体"/>
                <w:sz w:val="20"/>
                <w:szCs w:val="20"/>
              </w:rPr>
              <w:t>9</w:t>
            </w:r>
          </w:p>
        </w:tc>
        <w:tc>
          <w:tcPr>
            <w:tcW w:w="916"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left"/>
              <w:rPr>
                <w:rFonts w:ascii="仿宋_GB2312" w:hAnsi="仿宋_GB2312" w:eastAsia="仿宋_GB2312" w:cs="仿宋_GB2312"/>
                <w:kern w:val="0"/>
                <w:sz w:val="28"/>
                <w:szCs w:val="28"/>
              </w:rPr>
            </w:pPr>
            <w:r>
              <w:rPr>
                <w:rFonts w:hint="eastAsia" w:ascii="宋体" w:hAnsi="宋体" w:eastAsia="宋体" w:cs="宋体"/>
                <w:sz w:val="20"/>
                <w:szCs w:val="20"/>
              </w:rPr>
              <w:t>福州市安全生产监管平台</w:t>
            </w:r>
          </w:p>
        </w:tc>
        <w:tc>
          <w:tcPr>
            <w:tcW w:w="1238"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left"/>
              <w:rPr>
                <w:rFonts w:ascii="仿宋_GB2312" w:hAnsi="仿宋_GB2312" w:eastAsia="仿宋_GB2312" w:cs="仿宋_GB2312"/>
                <w:kern w:val="0"/>
                <w:sz w:val="28"/>
                <w:szCs w:val="28"/>
              </w:rPr>
            </w:pPr>
            <w:r>
              <w:rPr>
                <w:rFonts w:hint="eastAsia" w:ascii="宋体" w:hAnsi="宋体" w:eastAsia="宋体" w:cs="宋体"/>
                <w:sz w:val="20"/>
                <w:szCs w:val="20"/>
              </w:rPr>
              <w:t>型号：安全生产监督管理平台V1.0</w:t>
            </w:r>
          </w:p>
        </w:tc>
        <w:tc>
          <w:tcPr>
            <w:tcW w:w="4180"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left"/>
              <w:rPr>
                <w:rFonts w:ascii="宋体" w:hAnsi="宋体" w:eastAsia="宋体" w:cs="宋体"/>
                <w:sz w:val="20"/>
                <w:szCs w:val="20"/>
              </w:rPr>
            </w:pPr>
            <w:r>
              <w:rPr>
                <w:rFonts w:hint="eastAsia" w:ascii="宋体" w:hAnsi="宋体" w:eastAsia="宋体" w:cs="宋体"/>
                <w:sz w:val="20"/>
                <w:szCs w:val="20"/>
              </w:rPr>
              <w:t>该平台包括了智能移动监管系统、安全生产管理与指挥救援系统、安全生产综合监管系统、安全生产行业监管系统、企业危险源隐患管理平台和安全生产数据分析平台。通过该平台可有效整合隐患排查、执法检查、应急处置、督查督办及信息分析等监管业务，实现安全生产监管的精细化、业务的信息化和管理的规范化。</w:t>
            </w:r>
          </w:p>
          <w:p>
            <w:pPr>
              <w:jc w:val="left"/>
              <w:rPr>
                <w:rFonts w:ascii="仿宋_GB2312" w:hAnsi="仿宋_GB2312" w:eastAsia="仿宋_GB2312" w:cs="仿宋_GB2312"/>
                <w:kern w:val="0"/>
                <w:sz w:val="28"/>
                <w:szCs w:val="28"/>
              </w:rPr>
            </w:pPr>
            <w:r>
              <w:rPr>
                <w:rFonts w:hint="eastAsia" w:ascii="宋体" w:hAnsi="宋体" w:eastAsia="宋体" w:cs="宋体"/>
                <w:sz w:val="20"/>
                <w:szCs w:val="20"/>
              </w:rPr>
              <w:t>本项目根据国家要求将办公或业务系统迁移至安全可靠环境下运行和使用。考虑现有技术成熟度和现有设备性能，对福州市安全生产监管平台进行终端适配。</w:t>
            </w:r>
          </w:p>
        </w:tc>
        <w:tc>
          <w:tcPr>
            <w:tcW w:w="1294" w:type="dxa"/>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jc w:val="center"/>
              <w:rPr>
                <w:rFonts w:ascii="宋体" w:hAnsi="宋体" w:eastAsia="宋体" w:cs="宋体"/>
                <w:sz w:val="20"/>
                <w:szCs w:val="20"/>
              </w:rPr>
            </w:pPr>
            <w:r>
              <w:rPr>
                <w:rFonts w:hint="eastAsia" w:ascii="宋体" w:hAnsi="宋体" w:eastAsia="宋体" w:cs="宋体"/>
                <w:sz w:val="20"/>
                <w:szCs w:val="20"/>
              </w:rPr>
              <w:t>1（项）</w:t>
            </w:r>
          </w:p>
        </w:tc>
      </w:tr>
    </w:tbl>
    <w:p>
      <w:pPr>
        <w:spacing w:line="560" w:lineRule="exact"/>
        <w:ind w:firstLine="640" w:firstLineChars="200"/>
        <w:rPr>
          <w:rFonts w:hint="eastAsia" w:ascii="仿宋_GB2312" w:hAnsi="宋体" w:eastAsia="仿宋_GB2312" w:cs="宋体"/>
          <w:color w:val="0000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0144D"/>
    <w:rsid w:val="000219BE"/>
    <w:rsid w:val="00922E88"/>
    <w:rsid w:val="01B63546"/>
    <w:rsid w:val="03E03E4F"/>
    <w:rsid w:val="05E86230"/>
    <w:rsid w:val="06777CD2"/>
    <w:rsid w:val="09B01275"/>
    <w:rsid w:val="09BE5057"/>
    <w:rsid w:val="09DB7576"/>
    <w:rsid w:val="0AA91BD0"/>
    <w:rsid w:val="0C3A55C4"/>
    <w:rsid w:val="0C431B30"/>
    <w:rsid w:val="0DD54FB6"/>
    <w:rsid w:val="0EBD22BF"/>
    <w:rsid w:val="10996896"/>
    <w:rsid w:val="10AB31E2"/>
    <w:rsid w:val="11F01D08"/>
    <w:rsid w:val="14405731"/>
    <w:rsid w:val="14590516"/>
    <w:rsid w:val="158247AC"/>
    <w:rsid w:val="15A76A54"/>
    <w:rsid w:val="184F4861"/>
    <w:rsid w:val="1AD94EDF"/>
    <w:rsid w:val="1B941C1C"/>
    <w:rsid w:val="1D1A499A"/>
    <w:rsid w:val="1DEF475D"/>
    <w:rsid w:val="1E1E6175"/>
    <w:rsid w:val="24515705"/>
    <w:rsid w:val="25FA472B"/>
    <w:rsid w:val="26EE5504"/>
    <w:rsid w:val="29B65757"/>
    <w:rsid w:val="29D63A33"/>
    <w:rsid w:val="2AA94827"/>
    <w:rsid w:val="2AF86C19"/>
    <w:rsid w:val="2B3F01FC"/>
    <w:rsid w:val="2B6800B1"/>
    <w:rsid w:val="2C362EF5"/>
    <w:rsid w:val="2DE5491D"/>
    <w:rsid w:val="2E0E5381"/>
    <w:rsid w:val="2F2D00B7"/>
    <w:rsid w:val="304F3C79"/>
    <w:rsid w:val="328075AA"/>
    <w:rsid w:val="32967A52"/>
    <w:rsid w:val="33343F1B"/>
    <w:rsid w:val="351D4B18"/>
    <w:rsid w:val="36B7552E"/>
    <w:rsid w:val="38534FC4"/>
    <w:rsid w:val="39581600"/>
    <w:rsid w:val="39B93E66"/>
    <w:rsid w:val="3A056A29"/>
    <w:rsid w:val="3B4C5C4D"/>
    <w:rsid w:val="3D8D1870"/>
    <w:rsid w:val="3E7F4F51"/>
    <w:rsid w:val="42C6495E"/>
    <w:rsid w:val="442F6100"/>
    <w:rsid w:val="4443744D"/>
    <w:rsid w:val="462161F4"/>
    <w:rsid w:val="47090D85"/>
    <w:rsid w:val="48043EEF"/>
    <w:rsid w:val="48C41029"/>
    <w:rsid w:val="4A764C50"/>
    <w:rsid w:val="4CBE3701"/>
    <w:rsid w:val="4D8079E3"/>
    <w:rsid w:val="510019C3"/>
    <w:rsid w:val="51CA25C4"/>
    <w:rsid w:val="559E4442"/>
    <w:rsid w:val="568A412B"/>
    <w:rsid w:val="56D71BBE"/>
    <w:rsid w:val="5717009C"/>
    <w:rsid w:val="57C24152"/>
    <w:rsid w:val="58E563AB"/>
    <w:rsid w:val="5A30144D"/>
    <w:rsid w:val="5C786241"/>
    <w:rsid w:val="5EB63F8F"/>
    <w:rsid w:val="60033134"/>
    <w:rsid w:val="615C0CF3"/>
    <w:rsid w:val="62525235"/>
    <w:rsid w:val="63A11B14"/>
    <w:rsid w:val="63E63CE6"/>
    <w:rsid w:val="64D44856"/>
    <w:rsid w:val="661B620D"/>
    <w:rsid w:val="68C97E40"/>
    <w:rsid w:val="6935213B"/>
    <w:rsid w:val="699C55F5"/>
    <w:rsid w:val="6A842B0C"/>
    <w:rsid w:val="6B69576F"/>
    <w:rsid w:val="6CA044A0"/>
    <w:rsid w:val="6D8A04C9"/>
    <w:rsid w:val="6E105615"/>
    <w:rsid w:val="6EA3798A"/>
    <w:rsid w:val="737D6E45"/>
    <w:rsid w:val="73B06F07"/>
    <w:rsid w:val="73CF1178"/>
    <w:rsid w:val="74E743D8"/>
    <w:rsid w:val="768B082E"/>
    <w:rsid w:val="7AC67573"/>
    <w:rsid w:val="7C63608F"/>
    <w:rsid w:val="7FE31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2020-10-13T10:00:00Z</dcterms:created>
  <dc:creator>唐昱璇</dc:creator>
  <cp:lastModifiedBy>唐昱璇</cp:lastModifiedBy>
  <dcterms:modified xsi:type="dcterms:W3CDTF">2021-01-19T08:40:33Z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