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sz w:val="32"/>
          <w:szCs w:val="32"/>
        </w:rPr>
        <w:t>电子竞价风险告知及接受确认书</w:t>
      </w:r>
    </w:p>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第一条 为规范海峡纵横供应链采购服务平台电子竞价交易行为，根据中华人民共和国相关法律法规，按照公开，公平，公正，平等自愿原则，制定本办法。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第二条 本办法适用于福州交通信息投资运营有限公司运营的海峡纵横供应链采购服务平台（以下简称“服务平台”）所提供的服务。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第三条 任何使用服务平台参与竞价活动的自然人、法人及其他组织（以下简称“竞价人”）应仔细阅读此办法，同意并严格遵守此办法中的各项条款和要求。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第四条 竞价人必须仔细阅读本办法、全面了解交易项目涉及的标的物、竞价须知、竞价规则、交易合同文本以及竞价活动及标的相关信息、要求及其它相关文件，同意并接受、响应各项条款和要求，接受标的物一切现状（包括瑕疵），并根据要求办理相关手续，严格遵守本办法及相关规定和约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第五条 竞价人应保证报名申请竞价的个人或组织所提供的信息的真实、准确、完整。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第六条 通过指定终端参与竞价活动的竞价人应提前熟悉竞价环境，通过自备终端参与竞价活动的竞价人应尽量采用高带宽、高性能、安全的网络环境；通过公共环境参与竞价活动的竞价人应注意帐号安全，离开终端时应及时退出竞价系统。</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第七条 竞价人应对其帐户安全负责，任何使用竞价人用户名和密码登服务平台的用户，在服务平台的一切行为均视为该竞价人本人的行为，由竞价人负责。竞价人应对自己的帐户信息保密，每个注册帐户仅供一名竞价人使用。因竞价人原因导致其注册帐户信息泄露而造成的一切后果，服务平台不承担任何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第八条 鉴于互联网环境可能存在的时延等不可抗因素，竞价人应尽量在自由竞价期内充分出价，在限时竞价期内及时出价。出价的顺序以海峡纵横供应链采购服务平台的系统服务器所显示的出价时间为准。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第九条 竞价人在竞价活动中应及时关注海峡纵横供应链采购服务平台网站的相关公告信息，并保证注册登记的联络方式有效畅通。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第十条 竞价会一般采用一次性报价、互联网多次报价等竞价方式进行，竞价人应在规定的时间登录服务平台参与报价。</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第十一条 对于提供虚假资料、扰乱竞价、恶意串通或其他违反法律法规、平台操作规程的竞价人，服务平台有权随时取消其竞价资格，确认竞价无效，其缴纳的竞价保证金不予退还，并保留对其追究法律责任的权利。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第十二条 电子竞价风险：</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1、系统风险：为尽可能避免系统风险，我们建议采用如下列出的操作系统及软件参与竞价：</w:t>
      </w:r>
    </w:p>
    <w:tbl>
      <w:tblPr>
        <w:tblStyle w:val="2"/>
        <w:tblW w:w="9920" w:type="dxa"/>
        <w:tblInd w:w="93" w:type="dxa"/>
        <w:tblLayout w:type="autofit"/>
        <w:tblCellMar>
          <w:top w:w="0" w:type="dxa"/>
          <w:left w:w="108" w:type="dxa"/>
          <w:bottom w:w="0" w:type="dxa"/>
          <w:right w:w="108" w:type="dxa"/>
        </w:tblCellMar>
      </w:tblPr>
      <w:tblGrid>
        <w:gridCol w:w="3880"/>
        <w:gridCol w:w="3940"/>
        <w:gridCol w:w="2100"/>
      </w:tblGrid>
      <w:tr>
        <w:trPr>
          <w:trHeight w:val="375" w:hRule="atLeast"/>
        </w:trPr>
        <w:tc>
          <w:tcPr>
            <w:tcW w:w="38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操作系统</w:t>
            </w:r>
          </w:p>
        </w:tc>
        <w:tc>
          <w:tcPr>
            <w:tcW w:w="3940"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浏览器</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其他</w:t>
            </w:r>
          </w:p>
        </w:tc>
      </w:tr>
      <w:tr>
        <w:tblPrEx>
          <w:tblCellMar>
            <w:top w:w="0" w:type="dxa"/>
            <w:left w:w="108" w:type="dxa"/>
            <w:bottom w:w="0" w:type="dxa"/>
            <w:right w:w="108" w:type="dxa"/>
          </w:tblCellMar>
        </w:tblPrEx>
        <w:trPr>
          <w:trHeight w:val="540" w:hRule="atLeast"/>
        </w:trPr>
        <w:tc>
          <w:tcPr>
            <w:tcW w:w="3880"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推荐Windows Windows 7及以上版本</w:t>
            </w:r>
          </w:p>
        </w:tc>
        <w:tc>
          <w:tcPr>
            <w:tcW w:w="394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Internet Explorer10及以上版本  </w:t>
            </w:r>
          </w:p>
        </w:tc>
        <w:tc>
          <w:tcPr>
            <w:tcW w:w="2100"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CA驱动程序</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（数字证书）</w:t>
            </w:r>
          </w:p>
        </w:tc>
      </w:tr>
    </w:tbl>
    <w:p>
      <w:pPr>
        <w:spacing w:line="560" w:lineRule="exact"/>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使用注意事项：</w:t>
      </w:r>
    </w:p>
    <w:p>
      <w:pPr>
        <w:spacing w:line="560" w:lineRule="exact"/>
        <w:rPr>
          <w:rFonts w:ascii="仿宋_GB2312" w:eastAsia="仿宋_GB2312"/>
          <w:sz w:val="28"/>
          <w:szCs w:val="28"/>
        </w:rPr>
      </w:pPr>
      <w:r>
        <w:rPr>
          <w:rFonts w:hint="eastAsia" w:ascii="仿宋_GB2312" w:eastAsia="仿宋_GB2312"/>
          <w:sz w:val="28"/>
          <w:szCs w:val="28"/>
        </w:rPr>
        <w:t>　　1) 定期对浏览器进行插件扫描，卸载不必要的插件。</w:t>
      </w:r>
    </w:p>
    <w:p>
      <w:pPr>
        <w:spacing w:line="560" w:lineRule="exact"/>
        <w:rPr>
          <w:rFonts w:ascii="仿宋_GB2312" w:eastAsia="仿宋_GB2312"/>
          <w:sz w:val="28"/>
          <w:szCs w:val="28"/>
        </w:rPr>
      </w:pPr>
      <w:r>
        <w:rPr>
          <w:rFonts w:hint="eastAsia" w:ascii="仿宋_GB2312" w:eastAsia="仿宋_GB2312"/>
          <w:sz w:val="28"/>
          <w:szCs w:val="28"/>
        </w:rPr>
        <w:t>　　2) 定期对系统进行病毒检测。</w:t>
      </w:r>
    </w:p>
    <w:p>
      <w:pPr>
        <w:spacing w:line="560" w:lineRule="exact"/>
        <w:rPr>
          <w:rFonts w:ascii="仿宋_GB2312" w:eastAsia="仿宋_GB2312"/>
          <w:sz w:val="28"/>
          <w:szCs w:val="28"/>
        </w:rPr>
      </w:pPr>
      <w:r>
        <w:rPr>
          <w:rFonts w:hint="eastAsia" w:ascii="仿宋_GB2312" w:eastAsia="仿宋_GB2312"/>
          <w:sz w:val="28"/>
          <w:szCs w:val="28"/>
        </w:rPr>
        <w:t>　　3) 竞价进入延时阶段后，报价请尽量提前，以免突发网络异常情况造成报价不成功而最终导致竞买失败。</w:t>
      </w:r>
    </w:p>
    <w:p>
      <w:pPr>
        <w:spacing w:line="560" w:lineRule="exact"/>
        <w:rPr>
          <w:rFonts w:ascii="仿宋_GB2312" w:eastAsia="仿宋_GB2312"/>
          <w:sz w:val="28"/>
          <w:szCs w:val="28"/>
        </w:rPr>
      </w:pPr>
      <w:r>
        <w:rPr>
          <w:rFonts w:hint="eastAsia" w:ascii="仿宋_GB2312" w:eastAsia="仿宋_GB2312"/>
          <w:sz w:val="28"/>
          <w:szCs w:val="28"/>
        </w:rPr>
        <w:t>　　4) 建议将竞价地址设置为浏览器可信站点，并严格按照CA安装手册等要求完成环境设置及测试。</w:t>
      </w:r>
    </w:p>
    <w:p>
      <w:pPr>
        <w:spacing w:line="560" w:lineRule="exact"/>
        <w:rPr>
          <w:rFonts w:ascii="仿宋_GB2312" w:eastAsia="仿宋_GB2312"/>
          <w:sz w:val="28"/>
          <w:szCs w:val="28"/>
        </w:rPr>
      </w:pPr>
      <w:r>
        <w:rPr>
          <w:rFonts w:hint="eastAsia" w:ascii="仿宋_GB2312" w:eastAsia="仿宋_GB2312"/>
          <w:sz w:val="28"/>
          <w:szCs w:val="28"/>
        </w:rPr>
        <w:t>　　5) 建议在竞价过程中，调低将系统安装的防火墙软件的安全保护级别至不影响系统性能的级别。</w:t>
      </w:r>
    </w:p>
    <w:p>
      <w:pPr>
        <w:spacing w:line="560" w:lineRule="exact"/>
        <w:rPr>
          <w:rFonts w:ascii="仿宋_GB2312" w:eastAsia="仿宋_GB2312"/>
          <w:sz w:val="28"/>
          <w:szCs w:val="28"/>
        </w:rPr>
      </w:pPr>
      <w:r>
        <w:rPr>
          <w:rFonts w:hint="eastAsia" w:ascii="仿宋_GB2312" w:eastAsia="仿宋_GB2312"/>
          <w:sz w:val="28"/>
          <w:szCs w:val="28"/>
        </w:rPr>
        <w:t>　　在此建议下，仍可能存在产权交易所无法控制和不可预测的系统故障，导致电子竞价系统非正常运行甚至瘫痪，使您的交易无法顺利进行和成交。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2、技术风险：由于电子竞价是通过电脑技术实现的，这些技术被网络黑客和计算机病毒攻击后，可能导致电子竞价系统非正常运行甚至瘫痪，这些会使您的交易无法顺利进行和成交。</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3、时间风险：由于整个竞价过程时间均以系统服务器时间为准，如您所参照的时间（如手表或电脑终端显示时间）与系统服务器时间不一致，可能导致无法正常参与交易。</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其他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由于竞价人自身终端系统配置和网络异常等原因导致无法正常竞价的，服务平台不承担任何责任。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第十三条 因竞价人如下行为产生的一切后果，服务平台不承担任何责任：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1、竞价保证金交纳不及时的；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2、所填写的信息不真实、不准确或不完整的；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3、未及时关注平台官网发布的相关竞价活动信息的；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4、竞价人自身的终端设备和网络异常的；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5、竞价活动的时间以竞价系统时间为准，竞价人自身终端设备时间与竞价系统时间不符的；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6、竞价人注册登记的联络方式未能有效畅通，致使海峡纵横供应链采购平台有关通知无法送达的。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第十四条 发生下列情形之一的，服务平台有权及时中止或终结竞价活动，服务平台不承担任何责任。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1、因不可抗力因素、意外事件、非法网络入侵、服务器软（硬）件故障等导致竞价系统不能正常运行；</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2、因操作失误导致起始价、加价幅度、自由竞价阶段结束时间或限时竞价阶段等设置错误的；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3、通过服务平台指定终端参与竞价活动时有客户端出现故障的；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4、包括但不限于标的权属不符、标的性状改变等原因而使竞价活动产生争议的；</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5、其他需要中止或终结竞价活动的情形。</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因出现本条所列之情形导致竞价中止的，各竞价人的出价无效，待上述情形排除后，服务平台有权重新开放竞价。</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第十五条 因不可预见的原因导致电子竞价交易方式无法正常运作的，服务平台有权中止竞价或临时决定采用其它竞价方式和竞价交易规则。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第十六条  服务平台将定期对电子服务平台进行系统维护，维护前24小时将在平台官网网站上予以公告。服务平台在系统维护期间，相关服务暂停。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4D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2020-05-09T08:28:31Z</dcterms:created>
  <dc:creator>01</dc:creator>
  <cp:lastModifiedBy>01</cp:lastModifiedBy>
  <dcterms:modified xsi:type="dcterms:W3CDTF">2020-05-09T08:29:07Z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