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广东税务2024年国家税务总局税务人智慧办公平台上线技术支持服务项目（包组二）</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GPCGD24C500FG151F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国家税务总局广东省税务局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国家税务总局广东省税务局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广东税务2024年国家税务总局税务人智慧办公平台上线技术支持服务项目（包组二）</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GPCGD24C500FG151F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1,419,000.00元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1,419,000.00</w:t>
      </w:r>
    </w:p>
    <w:p>
      <w:pPr>
        <w:pStyle w:val="null3"/>
        <w:jc w:val="left"/>
      </w:pPr>
      <w:r>
        <w:rPr>
          <w:rFonts w:ascii="仿宋_GB2312" w:hAnsi="仿宋_GB2312" w:cs="仿宋_GB2312" w:eastAsia="仿宋_GB2312"/>
        </w:rPr>
        <w:t>采购包最高限价（元）: 1,419,000.00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广东税务2024年国家税务总局税务人智慧办公平台上线技术支持</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1,419,000.00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本采购包合同履约期限情况：详见需求</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根据相关工作安排，广东税务将于近期完成收规模块的全面推广工作。为保障纳税服务的质量，需采购收规业务模块的相关技术支持，主要包括环境部署、数据集成、应用测试、功能培训和等。</w:t>
      </w:r>
    </w:p>
    <w:p>
      <w:pPr>
        <w:pStyle w:val="null3"/>
        <w:jc w:val="left"/>
      </w:pPr>
      <w:r>
        <w:rPr>
          <w:rFonts w:ascii="仿宋_GB2312" w:hAnsi="仿宋_GB2312" w:cs="仿宋_GB2312" w:eastAsia="仿宋_GB2312"/>
          <w:b/>
        </w:rPr>
        <w:t>本项目属于服务类项目，中小企业划分标准所属行业为：软件和信息技术服务业</w:t>
      </w:r>
    </w:p>
    <w:p>
      <w:pPr>
        <w:pStyle w:val="null3"/>
        <w:jc w:val="left"/>
      </w:pPr>
      <w:r>
        <w:rPr>
          <w:rFonts w:ascii="仿宋_GB2312" w:hAnsi="仿宋_GB2312" w:cs="仿宋_GB2312" w:eastAsia="仿宋_GB2312"/>
          <w:b/>
        </w:rPr>
        <w:t>本项目非专门面向中小企业采购。</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 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国家税务总局广东省税务局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广州市花城大道767号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020-37990977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020-83186839/83187196（sczx3@gd.gov.cn）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w:t>
      </w:r>
      <w:r>
        <w:rPr>
          <w:rFonts w:ascii="仿宋_GB2312" w:hAnsi="仿宋_GB2312" w:cs="仿宋_GB2312" w:eastAsia="仿宋_GB2312"/>
        </w:rPr>
        <w:t>20-83186839/83187196（sczx3@gd.gov.cn）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22"/>
        <w:jc w:val="both"/>
      </w:pPr>
      <w:r>
        <w:rPr>
          <w:rFonts w:ascii="仿宋_GB2312" w:hAnsi="仿宋_GB2312" w:cs="仿宋_GB2312" w:eastAsia="仿宋_GB2312"/>
          <w:sz w:val="21"/>
          <w:b/>
        </w:rPr>
        <w:t>★投标人承诺所投入人员为投标人的正式员工或签合同满一年的人员（投标时提供承诺函，可参照“投标文件格式”中《承诺函》格式）。</w:t>
      </w:r>
    </w:p>
    <w:p>
      <w:pPr>
        <w:pStyle w:val="null3"/>
        <w:ind w:firstLine="422"/>
        <w:jc w:val="both"/>
      </w:pPr>
      <w:r>
        <w:rPr>
          <w:rFonts w:ascii="仿宋_GB2312" w:hAnsi="仿宋_GB2312" w:cs="仿宋_GB2312" w:eastAsia="仿宋_GB2312"/>
          <w:sz w:val="21"/>
          <w:b/>
        </w:rPr>
        <w:t>★本项目不允许分包，如供应商在投标/响应文件中未出现《分包协议意向书》，则视为未采取分包。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jc w:val="left"/>
      </w:pPr>
      <w:r>
        <w:rPr>
          <w:rFonts w:ascii="仿宋_GB2312" w:hAnsi="仿宋_GB2312" w:cs="仿宋_GB2312" w:eastAsia="仿宋_GB2312"/>
          <w:sz w:val="20"/>
          <w:b/>
        </w:rPr>
        <w:t>第一章 项目概述</w:t>
      </w:r>
    </w:p>
    <w:p>
      <w:pPr>
        <w:pStyle w:val="null3"/>
        <w:jc w:val="left"/>
      </w:pPr>
      <w:r>
        <w:rPr>
          <w:rFonts w:ascii="仿宋_GB2312" w:hAnsi="仿宋_GB2312" w:cs="仿宋_GB2312" w:eastAsia="仿宋_GB2312"/>
          <w:sz w:val="20"/>
          <w:b/>
        </w:rPr>
        <w:t xml:space="preserve">1.1 </w:t>
      </w:r>
      <w:r>
        <w:rPr>
          <w:rFonts w:ascii="仿宋_GB2312" w:hAnsi="仿宋_GB2312" w:cs="仿宋_GB2312" w:eastAsia="仿宋_GB2312"/>
          <w:sz w:val="20"/>
          <w:b/>
        </w:rPr>
        <w:t>项目背景</w:t>
      </w:r>
    </w:p>
    <w:p>
      <w:pPr>
        <w:pStyle w:val="null3"/>
        <w:jc w:val="left"/>
      </w:pPr>
      <w:r>
        <w:rPr>
          <w:rFonts w:ascii="仿宋_GB2312" w:hAnsi="仿宋_GB2312" w:cs="仿宋_GB2312" w:eastAsia="仿宋_GB2312"/>
          <w:sz w:val="20"/>
        </w:rPr>
        <w:t>按照国家税务总局统一部署，基于“统一设计，统一开发，整体推进，分省实施”的工作原则，需按照招标方要求于近期完成国家税务总局税务人智慧办公平台收规业务模块（以下简称“收规模块”）在广东省的推广上线工作。收规模块依托金税工程最新的架构体系支撑，涉及关联系统多、推广难度大，保障广东省税务局推广上线工作有序推进，确保在既定时间内保质保量完成相关工作。</w:t>
      </w:r>
    </w:p>
    <w:p>
      <w:pPr>
        <w:pStyle w:val="null3"/>
        <w:jc w:val="left"/>
      </w:pPr>
      <w:r>
        <w:rPr>
          <w:rFonts w:ascii="仿宋_GB2312" w:hAnsi="仿宋_GB2312" w:cs="仿宋_GB2312" w:eastAsia="仿宋_GB2312"/>
          <w:sz w:val="20"/>
          <w:b/>
        </w:rPr>
        <w:t xml:space="preserve">1.2 </w:t>
      </w:r>
      <w:r>
        <w:rPr>
          <w:rFonts w:ascii="仿宋_GB2312" w:hAnsi="仿宋_GB2312" w:cs="仿宋_GB2312" w:eastAsia="仿宋_GB2312"/>
          <w:sz w:val="20"/>
          <w:b/>
        </w:rPr>
        <w:t>项目目标</w:t>
      </w:r>
    </w:p>
    <w:p>
      <w:pPr>
        <w:pStyle w:val="null3"/>
        <w:jc w:val="left"/>
      </w:pPr>
      <w:r>
        <w:rPr>
          <w:rFonts w:ascii="仿宋_GB2312" w:hAnsi="仿宋_GB2312" w:cs="仿宋_GB2312" w:eastAsia="仿宋_GB2312"/>
          <w:sz w:val="20"/>
        </w:rPr>
        <w:t>进一步践行“数据+规则”驱动理念和体现智慧税务成果，将创新充分融入场景分析、数据驱动和智能规则等方面，聚焦业务实际补短板、强弱项，有效解决现有收规工作中“核算效率有待提升”、“核算精细度有待拓宽”、“核算信息化支撑有待加强”等痛点难点问题，实现七大亮点功能，使组织收入更加精准、会统核算更加高效、税收分析更加智能，不断提高收入规划核算业务数字化水平。</w:t>
      </w:r>
    </w:p>
    <w:p>
      <w:pPr>
        <w:pStyle w:val="null3"/>
        <w:jc w:val="left"/>
      </w:pPr>
      <w:r>
        <w:rPr>
          <w:rFonts w:ascii="仿宋_GB2312" w:hAnsi="仿宋_GB2312" w:cs="仿宋_GB2312" w:eastAsia="仿宋_GB2312"/>
          <w:sz w:val="20"/>
        </w:rPr>
        <w:t>新会统核算系统推广上线工作在国家税务总局统一指挥下，充分验证新老系统的功能迭代，做好培训工作以及系统前后的业务衔接合理安排上线工作，以零差错、零投诉、零舆情的工作标准，实现新会统核算系统平稳上线。</w:t>
      </w:r>
    </w:p>
    <w:p>
      <w:pPr>
        <w:pStyle w:val="null3"/>
        <w:numPr>
          <w:ilvl w:val="0"/>
          <w:numId w:val="1"/>
        </w:numPr>
        <w:jc w:val="left"/>
      </w:pPr>
      <w:r>
        <w:rPr>
          <w:rFonts w:ascii="仿宋_GB2312" w:hAnsi="仿宋_GB2312" w:cs="仿宋_GB2312" w:eastAsia="仿宋_GB2312"/>
          <w:sz w:val="20"/>
          <w:b/>
        </w:rPr>
        <w:t>建设内容与建设要求</w:t>
      </w:r>
    </w:p>
    <w:p>
      <w:pPr>
        <w:pStyle w:val="null3"/>
        <w:jc w:val="left"/>
      </w:pPr>
      <w:r>
        <w:rPr>
          <w:rFonts w:ascii="仿宋_GB2312" w:hAnsi="仿宋_GB2312" w:cs="仿宋_GB2312" w:eastAsia="仿宋_GB2312"/>
          <w:sz w:val="20"/>
          <w:b/>
        </w:rPr>
        <w:t xml:space="preserve">2.1 </w:t>
      </w:r>
      <w:r>
        <w:rPr>
          <w:rFonts w:ascii="仿宋_GB2312" w:hAnsi="仿宋_GB2312" w:cs="仿宋_GB2312" w:eastAsia="仿宋_GB2312"/>
          <w:sz w:val="20"/>
          <w:b/>
        </w:rPr>
        <w:t>总体建设内容</w:t>
      </w:r>
    </w:p>
    <w:p>
      <w:pPr>
        <w:pStyle w:val="null3"/>
        <w:jc w:val="left"/>
      </w:pPr>
      <w:r>
        <w:rPr>
          <w:rFonts w:ascii="仿宋_GB2312" w:hAnsi="仿宋_GB2312" w:cs="仿宋_GB2312" w:eastAsia="仿宋_GB2312"/>
          <w:sz w:val="20"/>
        </w:rPr>
        <w:t>项目内容主要包括：慧办平台（收规模块部分）上线实施以及培训辅导支持。推广上线实施主要包含系统集成管控优化服务、集成联调服务以及上线过程服务。</w:t>
      </w:r>
    </w:p>
    <w:p>
      <w:pPr>
        <w:pStyle w:val="null3"/>
        <w:jc w:val="left"/>
      </w:pPr>
      <w:r>
        <w:rPr>
          <w:rFonts w:ascii="仿宋_GB2312" w:hAnsi="仿宋_GB2312" w:cs="仿宋_GB2312" w:eastAsia="仿宋_GB2312"/>
          <w:sz w:val="20"/>
        </w:rPr>
        <w:t>推广上线实施主要包括广东税务慧办平台上线实施工作，和应用支撑平台（以下简称“税智撑”）-支撑慧办平台部分的上线实施。税智撑支撑慧办平台部分主要包括：数据链路、数据加工、数据展现等事项。</w:t>
      </w:r>
    </w:p>
    <w:p>
      <w:pPr>
        <w:pStyle w:val="null3"/>
        <w:jc w:val="left"/>
      </w:pPr>
      <w:r>
        <w:rPr>
          <w:rFonts w:ascii="仿宋_GB2312" w:hAnsi="仿宋_GB2312" w:cs="仿宋_GB2312" w:eastAsia="仿宋_GB2312"/>
          <w:sz w:val="20"/>
          <w:b/>
        </w:rPr>
        <w:t xml:space="preserve">2.2 </w:t>
      </w:r>
      <w:r>
        <w:rPr>
          <w:rFonts w:ascii="仿宋_GB2312" w:hAnsi="仿宋_GB2312" w:cs="仿宋_GB2312" w:eastAsia="仿宋_GB2312"/>
          <w:sz w:val="20"/>
          <w:b/>
        </w:rPr>
        <w:t>具体建设内容</w:t>
      </w:r>
    </w:p>
    <w:p>
      <w:pPr>
        <w:pStyle w:val="null3"/>
        <w:jc w:val="left"/>
      </w:pPr>
      <w:r>
        <w:rPr>
          <w:rFonts w:ascii="仿宋_GB2312" w:hAnsi="仿宋_GB2312" w:cs="仿宋_GB2312" w:eastAsia="仿宋_GB2312"/>
          <w:sz w:val="20"/>
          <w:b/>
        </w:rPr>
        <w:t>2.2.1</w:t>
      </w:r>
      <w:r>
        <w:rPr>
          <w:rFonts w:ascii="仿宋_GB2312" w:hAnsi="仿宋_GB2312" w:cs="仿宋_GB2312" w:eastAsia="仿宋_GB2312"/>
          <w:sz w:val="20"/>
          <w:b/>
        </w:rPr>
        <w:t>应用系统集成管控</w:t>
      </w:r>
    </w:p>
    <w:p>
      <w:pPr>
        <w:pStyle w:val="null3"/>
        <w:jc w:val="left"/>
      </w:pPr>
      <w:r>
        <w:rPr>
          <w:rFonts w:ascii="仿宋_GB2312" w:hAnsi="仿宋_GB2312" w:cs="仿宋_GB2312" w:eastAsia="仿宋_GB2312"/>
          <w:sz w:val="20"/>
        </w:rPr>
        <w:t>（一）上线团队建立</w:t>
      </w:r>
    </w:p>
    <w:p>
      <w:pPr>
        <w:pStyle w:val="null3"/>
        <w:jc w:val="left"/>
      </w:pPr>
      <w:r>
        <w:rPr>
          <w:rFonts w:ascii="仿宋_GB2312" w:hAnsi="仿宋_GB2312" w:cs="仿宋_GB2312" w:eastAsia="仿宋_GB2312"/>
          <w:sz w:val="20"/>
        </w:rPr>
        <w:t>按照工作要求成立上线单位工作组，相应的推广团队，建立相应的工作群。团队包含统筹管理、业务团队以及技术团队，统筹管理负责工作协调、工作进度推进、信息反馈以及上报并配合处理专项重大问题；业务团队负责税务人岗责收集管理、业务初始化设置、业务流程、操作习惯、业务规则确认、数据验证以及后续全省的业务培训指导等业务专业性工作；技术团队负责相关基础环境部署、应用部署、系统初始化（除岗责数据、业务参数、业务规则采集及确认外）、策略开通、压力测试、安全管理（安全测试、等保测评）、数据清理、技术保障、运行保障等相关工作。</w:t>
      </w:r>
    </w:p>
    <w:p>
      <w:pPr>
        <w:pStyle w:val="null3"/>
        <w:jc w:val="left"/>
      </w:pPr>
      <w:r>
        <w:rPr>
          <w:rFonts w:ascii="仿宋_GB2312" w:hAnsi="仿宋_GB2312" w:cs="仿宋_GB2312" w:eastAsia="仿宋_GB2312"/>
          <w:sz w:val="20"/>
        </w:rPr>
        <w:t>（二）上线扩围策略</w:t>
      </w:r>
    </w:p>
    <w:p>
      <w:pPr>
        <w:pStyle w:val="null3"/>
        <w:jc w:val="left"/>
      </w:pPr>
      <w:r>
        <w:rPr>
          <w:rFonts w:ascii="仿宋_GB2312" w:hAnsi="仿宋_GB2312" w:cs="仿宋_GB2312" w:eastAsia="仿宋_GB2312"/>
          <w:sz w:val="20"/>
        </w:rPr>
        <w:t>上线单位结合本省业务情况、资源到位情况，确定上线策略，分批次上线的需确定本地试点区域及分批扩围策略，最终完成全省的全面上线。</w:t>
      </w:r>
    </w:p>
    <w:p>
      <w:pPr>
        <w:pStyle w:val="null3"/>
        <w:jc w:val="left"/>
      </w:pPr>
      <w:r>
        <w:rPr>
          <w:rFonts w:ascii="仿宋_GB2312" w:hAnsi="仿宋_GB2312" w:cs="仿宋_GB2312" w:eastAsia="仿宋_GB2312"/>
          <w:sz w:val="20"/>
        </w:rPr>
        <w:t>（三）部署模式确认</w:t>
      </w:r>
    </w:p>
    <w:p>
      <w:pPr>
        <w:pStyle w:val="null3"/>
        <w:jc w:val="left"/>
      </w:pPr>
      <w:r>
        <w:rPr>
          <w:rFonts w:ascii="仿宋_GB2312" w:hAnsi="仿宋_GB2312" w:cs="仿宋_GB2312" w:eastAsia="仿宋_GB2312"/>
          <w:sz w:val="20"/>
        </w:rPr>
        <w:t>新会统核算系统中的核算记账库支持独立物理部署以及与在汇聚区建立子集群共享资源两种部署模式，上线单位需结合本省实际资源情况以及业务特点确定其部署模式。</w:t>
      </w:r>
    </w:p>
    <w:p>
      <w:pPr>
        <w:pStyle w:val="null3"/>
        <w:jc w:val="left"/>
      </w:pPr>
      <w:r>
        <w:rPr>
          <w:rFonts w:ascii="仿宋_GB2312" w:hAnsi="仿宋_GB2312" w:cs="仿宋_GB2312" w:eastAsia="仿宋_GB2312"/>
          <w:sz w:val="20"/>
        </w:rPr>
        <w:t>（四）资源评估</w:t>
      </w:r>
    </w:p>
    <w:p>
      <w:pPr>
        <w:pStyle w:val="null3"/>
        <w:jc w:val="left"/>
      </w:pPr>
      <w:r>
        <w:rPr>
          <w:rFonts w:ascii="仿宋_GB2312" w:hAnsi="仿宋_GB2312" w:cs="仿宋_GB2312" w:eastAsia="仿宋_GB2312"/>
          <w:sz w:val="20"/>
        </w:rPr>
        <w:t>严格落实总局节俭、廉洁的工作要求，优先复用相关项目已有资源作为税务人端生产环境的基础设施资源。同时，根据税务人员规模、纳税人数量、数据体量等，充分评估本地资源需求，以最少资源实现最大化成效。确认本省资源情况满足需求要求，经税智撑项目组评估确认后，再行按规定流程推进部署实施等工作。</w:t>
      </w:r>
    </w:p>
    <w:p>
      <w:pPr>
        <w:pStyle w:val="null3"/>
        <w:jc w:val="left"/>
      </w:pPr>
      <w:r>
        <w:rPr>
          <w:rFonts w:ascii="仿宋_GB2312" w:hAnsi="仿宋_GB2312" w:cs="仿宋_GB2312" w:eastAsia="仿宋_GB2312"/>
          <w:sz w:val="20"/>
          <w:b/>
        </w:rPr>
        <w:t>2.2.2</w:t>
      </w:r>
      <w:r>
        <w:rPr>
          <w:rFonts w:ascii="仿宋_GB2312" w:hAnsi="仿宋_GB2312" w:cs="仿宋_GB2312" w:eastAsia="仿宋_GB2312"/>
          <w:sz w:val="20"/>
          <w:b/>
        </w:rPr>
        <w:t>环境搭建</w:t>
      </w:r>
    </w:p>
    <w:p>
      <w:pPr>
        <w:pStyle w:val="null3"/>
        <w:jc w:val="left"/>
      </w:pPr>
      <w:r>
        <w:rPr>
          <w:rFonts w:ascii="仿宋_GB2312" w:hAnsi="仿宋_GB2312" w:cs="仿宋_GB2312" w:eastAsia="仿宋_GB2312"/>
          <w:sz w:val="20"/>
        </w:rPr>
        <w:t>（一）基础环境准备及软件安装</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、应用系统资源验证</w:t>
      </w:r>
    </w:p>
    <w:p>
      <w:pPr>
        <w:pStyle w:val="null3"/>
        <w:jc w:val="left"/>
      </w:pPr>
      <w:r>
        <w:rPr>
          <w:rFonts w:ascii="仿宋_GB2312" w:hAnsi="仿宋_GB2312" w:cs="仿宋_GB2312" w:eastAsia="仿宋_GB2312"/>
          <w:sz w:val="20"/>
        </w:rPr>
        <w:t>对基础环境中涉及的核算记账库、核算管理库、核算设计库、Rediss、腾讯云TKE以及CVM等云上、云下资源验证测试，是否满足部署的需求。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、税智撑公共资源验证</w:t>
      </w:r>
    </w:p>
    <w:p>
      <w:pPr>
        <w:pStyle w:val="null3"/>
        <w:jc w:val="left"/>
      </w:pPr>
      <w:r>
        <w:rPr>
          <w:rFonts w:ascii="仿宋_GB2312" w:hAnsi="仿宋_GB2312" w:cs="仿宋_GB2312" w:eastAsia="仿宋_GB2312"/>
          <w:sz w:val="20"/>
        </w:rPr>
        <w:t>税智撑公共组件数据治理、规则引擎、省局汇聚区、公共数据服务库、支撑新电局库等其他关联系统的公共资源组件的申请与验证测试。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、安全策略验证</w:t>
      </w:r>
    </w:p>
    <w:p>
      <w:pPr>
        <w:pStyle w:val="null3"/>
        <w:jc w:val="left"/>
      </w:pPr>
      <w:r>
        <w:rPr>
          <w:rFonts w:ascii="仿宋_GB2312" w:hAnsi="仿宋_GB2312" w:cs="仿宋_GB2312" w:eastAsia="仿宋_GB2312"/>
          <w:sz w:val="20"/>
        </w:rPr>
        <w:t>根据应用子系统的访问需求，对各应用资源之间、访问公共组件以及其他系统的安全策略的申请与验证，确保数据链条的通畅。</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、基础软件的安装</w:t>
      </w:r>
    </w:p>
    <w:p>
      <w:pPr>
        <w:pStyle w:val="null3"/>
        <w:jc w:val="left"/>
      </w:pPr>
      <w:r>
        <w:rPr>
          <w:rFonts w:ascii="仿宋_GB2312" w:hAnsi="仿宋_GB2312" w:cs="仿宋_GB2312" w:eastAsia="仿宋_GB2312"/>
          <w:sz w:val="20"/>
        </w:rPr>
        <w:t>应用系统使用的基础软件安装，包括不限于数据同步工具、集算器、规则引擎、发版机等。</w:t>
      </w:r>
    </w:p>
    <w:p>
      <w:pPr>
        <w:pStyle w:val="null3"/>
        <w:jc w:val="left"/>
      </w:pPr>
      <w:r>
        <w:rPr>
          <w:rFonts w:ascii="仿宋_GB2312" w:hAnsi="仿宋_GB2312" w:cs="仿宋_GB2312" w:eastAsia="仿宋_GB2312"/>
          <w:sz w:val="20"/>
        </w:rPr>
        <w:t>（二）系统部署</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、应用部署</w:t>
      </w:r>
    </w:p>
    <w:p>
      <w:pPr>
        <w:pStyle w:val="null3"/>
        <w:jc w:val="left"/>
      </w:pPr>
      <w:r>
        <w:rPr>
          <w:rFonts w:ascii="仿宋_GB2312" w:hAnsi="仿宋_GB2312" w:cs="仿宋_GB2312" w:eastAsia="仿宋_GB2312"/>
          <w:sz w:val="20"/>
        </w:rPr>
        <w:t>对会统核算系统、综合报表设计、运行系统、支撑新电局微服务（税收预测功能中涉及纳税人端的采集功能，新电局提供页面采集功能，后端的预填、查询、保存等微服务由会统核算系统提供）以及与自然人电子税务的MQ通信部署实施以及系统集成实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、数据库部署</w:t>
      </w:r>
    </w:p>
    <w:p>
      <w:pPr>
        <w:pStyle w:val="null3"/>
        <w:jc w:val="left"/>
      </w:pPr>
      <w:r>
        <w:rPr>
          <w:rFonts w:ascii="仿宋_GB2312" w:hAnsi="仿宋_GB2312" w:cs="仿宋_GB2312" w:eastAsia="仿宋_GB2312"/>
          <w:sz w:val="20"/>
        </w:rPr>
        <w:t>对核算记账库、核算管理库、核算设计库、支撑新电局库、公共数据服务库、行为库的数据表创建、数据表的分片、索引等性能初始化创建，以对数据分布的收集为依据调整数据库系统参数等数据库部署实施，以及对数据库版本的升级。</w:t>
      </w:r>
    </w:p>
    <w:p>
      <w:pPr>
        <w:pStyle w:val="null3"/>
        <w:jc w:val="left"/>
      </w:pPr>
      <w:r>
        <w:rPr>
          <w:rFonts w:ascii="仿宋_GB2312" w:hAnsi="仿宋_GB2312" w:cs="仿宋_GB2312" w:eastAsia="仿宋_GB2312"/>
          <w:sz w:val="20"/>
        </w:rPr>
        <w:t>（三）链路搭建</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、省省数据链路搭建</w:t>
      </w:r>
    </w:p>
    <w:p>
      <w:pPr>
        <w:pStyle w:val="null3"/>
        <w:jc w:val="left"/>
      </w:pPr>
      <w:r>
        <w:rPr>
          <w:rFonts w:ascii="仿宋_GB2312" w:hAnsi="仿宋_GB2312" w:cs="仿宋_GB2312" w:eastAsia="仿宋_GB2312"/>
          <w:sz w:val="20"/>
        </w:rPr>
        <w:t>在省局汇聚区、核算记账库、核算管理库、核算设计库、支撑新电局库、公共数据服务库、行为库7个数据库之间的11条数据同步链路（包括：CDC链路以及应用服务同步链路）的搭建与测试。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、总省数据链路搭建</w:t>
      </w:r>
    </w:p>
    <w:p>
      <w:pPr>
        <w:pStyle w:val="null3"/>
        <w:jc w:val="left"/>
      </w:pPr>
      <w:r>
        <w:rPr>
          <w:rFonts w:ascii="仿宋_GB2312" w:hAnsi="仿宋_GB2312" w:cs="仿宋_GB2312" w:eastAsia="仿宋_GB2312"/>
          <w:sz w:val="20"/>
        </w:rPr>
        <w:t>在总局与省局之间核算记账库、核算管理库以及自然人电子税务局的6条数据链路（包括：CDC链路以及应用服务同步链路）的搭建与测试。</w:t>
      </w:r>
    </w:p>
    <w:p>
      <w:pPr>
        <w:pStyle w:val="null3"/>
        <w:jc w:val="left"/>
      </w:pPr>
      <w:r>
        <w:rPr>
          <w:rFonts w:ascii="仿宋_GB2312" w:hAnsi="仿宋_GB2312" w:cs="仿宋_GB2312" w:eastAsia="仿宋_GB2312"/>
          <w:sz w:val="20"/>
        </w:rPr>
        <w:t>具体链路建设工作如下：税智撑支撑收规业务</w:t>
      </w:r>
    </w:p>
    <w:p>
      <w:pPr>
        <w:pStyle w:val="null3"/>
        <w:jc w:val="left"/>
      </w:pPr>
      <w:r>
        <w:rPr>
          <w:rFonts w:ascii="仿宋_GB2312" w:hAnsi="仿宋_GB2312" w:cs="仿宋_GB2312" w:eastAsia="仿宋_GB2312"/>
          <w:sz w:val="20"/>
        </w:rPr>
        <w:t>序号    阶段    服务内容    具体内容</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上线实施阶段    资源评估（准生产+预生产）   链路资源评估及申请</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策略申请（准生产+预生产）   链路策略申请</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 xml:space="preserve">账号权限申请（准生产+预生产）  </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数据库部署（准生产+预生产）</w:t>
      </w:r>
    </w:p>
    <w:p>
      <w:pPr>
        <w:pStyle w:val="null3"/>
        <w:jc w:val="left"/>
      </w:pPr>
      <w:r>
        <w:rPr>
          <w:rFonts w:ascii="仿宋_GB2312" w:hAnsi="仿宋_GB2312" w:cs="仿宋_GB2312" w:eastAsia="仿宋_GB2312"/>
          <w:sz w:val="20"/>
        </w:rPr>
        <w:t xml:space="preserve">5   </w:t>
      </w:r>
      <w:r>
        <w:rPr>
          <w:rFonts w:ascii="仿宋_GB2312" w:hAnsi="仿宋_GB2312" w:cs="仿宋_GB2312" w:eastAsia="仿宋_GB2312"/>
          <w:sz w:val="20"/>
        </w:rPr>
        <w:t>安装部署（准生产+预生产）   链路工具部署</w:t>
      </w:r>
    </w:p>
    <w:p>
      <w:pPr>
        <w:pStyle w:val="null3"/>
        <w:jc w:val="left"/>
      </w:pPr>
      <w:r>
        <w:rPr>
          <w:rFonts w:ascii="仿宋_GB2312" w:hAnsi="仿宋_GB2312" w:cs="仿宋_GB2312" w:eastAsia="仿宋_GB2312"/>
          <w:sz w:val="20"/>
        </w:rPr>
        <w:t xml:space="preserve">6   </w:t>
      </w:r>
      <w:r>
        <w:rPr>
          <w:rFonts w:ascii="仿宋_GB2312" w:hAnsi="仿宋_GB2312" w:cs="仿宋_GB2312" w:eastAsia="仿宋_GB2312"/>
          <w:sz w:val="20"/>
        </w:rPr>
        <w:t xml:space="preserve">链路建设（准生产+预生产）  </w:t>
      </w:r>
    </w:p>
    <w:p>
      <w:pPr>
        <w:pStyle w:val="null3"/>
        <w:jc w:val="left"/>
      </w:pPr>
      <w:r>
        <w:rPr>
          <w:rFonts w:ascii="仿宋_GB2312" w:hAnsi="仿宋_GB2312" w:cs="仿宋_GB2312" w:eastAsia="仿宋_GB2312"/>
          <w:sz w:val="20"/>
        </w:rPr>
        <w:t xml:space="preserve">7   </w:t>
      </w:r>
      <w:r>
        <w:rPr>
          <w:rFonts w:ascii="仿宋_GB2312" w:hAnsi="仿宋_GB2312" w:cs="仿宋_GB2312" w:eastAsia="仿宋_GB2312"/>
          <w:sz w:val="20"/>
        </w:rPr>
        <w:t xml:space="preserve">数据验证（准生产+预生产）  </w:t>
      </w:r>
    </w:p>
    <w:p>
      <w:pPr>
        <w:pStyle w:val="null3"/>
        <w:jc w:val="left"/>
      </w:pPr>
      <w:r>
        <w:rPr>
          <w:rFonts w:ascii="仿宋_GB2312" w:hAnsi="仿宋_GB2312" w:cs="仿宋_GB2312" w:eastAsia="仿宋_GB2312"/>
          <w:sz w:val="20"/>
        </w:rPr>
        <w:t xml:space="preserve">8   </w:t>
      </w:r>
      <w:r>
        <w:rPr>
          <w:rFonts w:ascii="仿宋_GB2312" w:hAnsi="仿宋_GB2312" w:cs="仿宋_GB2312" w:eastAsia="仿宋_GB2312"/>
          <w:sz w:val="20"/>
        </w:rPr>
        <w:t>联调测试（准生产+预生产）   与新核算系统的联通性测试验证工作</w:t>
      </w:r>
    </w:p>
    <w:p>
      <w:pPr>
        <w:pStyle w:val="null3"/>
        <w:jc w:val="left"/>
      </w:pPr>
      <w:r>
        <w:rPr>
          <w:rFonts w:ascii="仿宋_GB2312" w:hAnsi="仿宋_GB2312" w:cs="仿宋_GB2312" w:eastAsia="仿宋_GB2312"/>
          <w:sz w:val="20"/>
        </w:rPr>
        <w:t xml:space="preserve">9   </w:t>
      </w:r>
      <w:r>
        <w:rPr>
          <w:rFonts w:ascii="仿宋_GB2312" w:hAnsi="仿宋_GB2312" w:cs="仿宋_GB2312" w:eastAsia="仿宋_GB2312"/>
          <w:sz w:val="20"/>
        </w:rPr>
        <w:t>上线切换    制定切换计划、准生产环境数据清理、版本检查与升级、初始化检查、相关配置检查、关联系统连通性验证等。</w:t>
      </w:r>
    </w:p>
    <w:p>
      <w:pPr>
        <w:pStyle w:val="null3"/>
        <w:jc w:val="left"/>
      </w:pPr>
      <w:r>
        <w:rPr>
          <w:rFonts w:ascii="仿宋_GB2312" w:hAnsi="仿宋_GB2312" w:cs="仿宋_GB2312" w:eastAsia="仿宋_GB2312"/>
          <w:sz w:val="20"/>
          <w:b/>
        </w:rPr>
        <w:t>2.2.3</w:t>
      </w:r>
      <w:r>
        <w:rPr>
          <w:rFonts w:ascii="仿宋_GB2312" w:hAnsi="仿宋_GB2312" w:cs="仿宋_GB2312" w:eastAsia="仿宋_GB2312"/>
          <w:sz w:val="20"/>
          <w:b/>
        </w:rPr>
        <w:t>应用系统初始化</w:t>
      </w:r>
    </w:p>
    <w:p>
      <w:pPr>
        <w:pStyle w:val="null3"/>
        <w:jc w:val="left"/>
      </w:pPr>
      <w:r>
        <w:rPr>
          <w:rFonts w:ascii="仿宋_GB2312" w:hAnsi="仿宋_GB2312" w:cs="仿宋_GB2312" w:eastAsia="仿宋_GB2312"/>
          <w:sz w:val="20"/>
        </w:rPr>
        <w:t>（一）数据库初始化</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、配置表初始化</w:t>
      </w:r>
    </w:p>
    <w:p>
      <w:pPr>
        <w:pStyle w:val="null3"/>
        <w:jc w:val="left"/>
      </w:pPr>
      <w:r>
        <w:rPr>
          <w:rFonts w:ascii="仿宋_GB2312" w:hAnsi="仿宋_GB2312" w:cs="仿宋_GB2312" w:eastAsia="仿宋_GB2312"/>
          <w:sz w:val="20"/>
        </w:rPr>
        <w:t>一是定时任务配置，以及系统启用日期、是否自动加工报表等系统参数的初始化设置；二是根据资源使用情况，对系统参数阈值的评估与设定。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、非核算数据初始化</w:t>
      </w:r>
    </w:p>
    <w:p>
      <w:pPr>
        <w:pStyle w:val="null3"/>
        <w:jc w:val="left"/>
      </w:pPr>
      <w:r>
        <w:rPr>
          <w:rFonts w:ascii="仿宋_GB2312" w:hAnsi="仿宋_GB2312" w:cs="仿宋_GB2312" w:eastAsia="仿宋_GB2312"/>
          <w:sz w:val="20"/>
        </w:rPr>
        <w:t>对于会计监督的监督规则扫描、税收预测认定纳税人的信息统计以及其他公共业务数据（数据中间层模型的数据，例如：行业宽表）等非核算数据初始化调度与生成。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、核算实时流水初始化</w:t>
      </w:r>
    </w:p>
    <w:p>
      <w:pPr>
        <w:pStyle w:val="null3"/>
        <w:jc w:val="left"/>
      </w:pPr>
      <w:r>
        <w:rPr>
          <w:rFonts w:ascii="仿宋_GB2312" w:hAnsi="仿宋_GB2312" w:cs="仿宋_GB2312" w:eastAsia="仿宋_GB2312"/>
          <w:sz w:val="20"/>
        </w:rPr>
        <w:t>由于核算实时流水为实时数据，对系统启用之前的历史原始凭证进行批量数据处理，确保前后的数据衔接以及账务数据的准确性。</w:t>
      </w:r>
    </w:p>
    <w:p>
      <w:pPr>
        <w:pStyle w:val="null3"/>
        <w:jc w:val="left"/>
      </w:pPr>
      <w:r>
        <w:rPr>
          <w:rFonts w:ascii="仿宋_GB2312" w:hAnsi="仿宋_GB2312" w:cs="仿宋_GB2312" w:eastAsia="仿宋_GB2312"/>
          <w:sz w:val="20"/>
        </w:rPr>
        <w:t>（二）业务初始化</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、岗责初始化</w:t>
      </w:r>
    </w:p>
    <w:p>
      <w:pPr>
        <w:pStyle w:val="null3"/>
        <w:jc w:val="left"/>
      </w:pPr>
      <w:r>
        <w:rPr>
          <w:rFonts w:ascii="仿宋_GB2312" w:hAnsi="仿宋_GB2312" w:cs="仿宋_GB2312" w:eastAsia="仿宋_GB2312"/>
          <w:sz w:val="20"/>
        </w:rPr>
        <w:t>协助税务人管理人员在可信系统中收规条线以及其他条线对新会统核算系统中涉及的会统管理岗、会统核算岗、会计监督岗、监督岗（管理岗）、监督岗（办理岗）、规划管理岗、收入快报岗、税收预测岗的岗责与数据权限层级的设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、会统核算业务初始化</w:t>
      </w:r>
    </w:p>
    <w:p>
      <w:pPr>
        <w:pStyle w:val="null3"/>
        <w:jc w:val="left"/>
      </w:pPr>
      <w:r>
        <w:rPr>
          <w:rFonts w:ascii="仿宋_GB2312" w:hAnsi="仿宋_GB2312" w:cs="仿宋_GB2312" w:eastAsia="仿宋_GB2312"/>
          <w:sz w:val="20"/>
        </w:rPr>
        <w:t>核算单位、核算日期、票证核算单位设置、规划区域设置（自贸区、经济带、城市群）、核算规则等业务规则的初始化。</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、会计监督业务初始化</w:t>
      </w:r>
    </w:p>
    <w:p>
      <w:pPr>
        <w:pStyle w:val="null3"/>
        <w:jc w:val="left"/>
      </w:pPr>
      <w:r>
        <w:rPr>
          <w:rFonts w:ascii="仿宋_GB2312" w:hAnsi="仿宋_GB2312" w:cs="仿宋_GB2312" w:eastAsia="仿宋_GB2312"/>
          <w:sz w:val="20"/>
        </w:rPr>
        <w:t>会计监督规则的维护配置以及后续的任务分配规则的配置初始化。</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、税收预测业务初始化</w:t>
      </w:r>
    </w:p>
    <w:p>
      <w:pPr>
        <w:pStyle w:val="null3"/>
        <w:jc w:val="left"/>
      </w:pPr>
      <w:r>
        <w:rPr>
          <w:rFonts w:ascii="仿宋_GB2312" w:hAnsi="仿宋_GB2312" w:cs="仿宋_GB2312" w:eastAsia="仿宋_GB2312"/>
          <w:sz w:val="20"/>
        </w:rPr>
        <w:t>相关直报预测企业的数据业务初始化。</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、综合报表设计系统</w:t>
      </w:r>
    </w:p>
    <w:p>
      <w:pPr>
        <w:pStyle w:val="null3"/>
        <w:jc w:val="left"/>
      </w:pPr>
      <w:r>
        <w:rPr>
          <w:rFonts w:ascii="仿宋_GB2312" w:hAnsi="仿宋_GB2312" w:cs="仿宋_GB2312" w:eastAsia="仿宋_GB2312"/>
          <w:sz w:val="20"/>
        </w:rPr>
        <w:t>表样设置、数据源设置、分析区、任务管理、计算公式编辑、审核公式编辑等设计功能的初始化。</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、综合报表运行系统</w:t>
      </w:r>
    </w:p>
    <w:p>
      <w:pPr>
        <w:pStyle w:val="null3"/>
        <w:jc w:val="left"/>
      </w:pPr>
      <w:r>
        <w:rPr>
          <w:rFonts w:ascii="仿宋_GB2312" w:hAnsi="仿宋_GB2312" w:cs="仿宋_GB2312" w:eastAsia="仿宋_GB2312"/>
          <w:sz w:val="20"/>
        </w:rPr>
        <w:t>一是对会统报表（角分）、会统报表（万元）、收入快报（角分）、收入快报（万元）、重点税源以及税收调查6个任务关于2023、2024年两个版本的初始化配置；二是对报表汇总、清单列表、多维分析、固定分析表、图表分析、示例查询、舍位平衡、报表下钻等功能的初始化。。</w:t>
      </w:r>
    </w:p>
    <w:p>
      <w:pPr>
        <w:pStyle w:val="null3"/>
        <w:jc w:val="left"/>
      </w:pPr>
      <w:r>
        <w:rPr>
          <w:rFonts w:ascii="仿宋_GB2312" w:hAnsi="仿宋_GB2312" w:cs="仿宋_GB2312" w:eastAsia="仿宋_GB2312"/>
          <w:sz w:val="20"/>
          <w:b/>
        </w:rPr>
        <w:t>2.2.4</w:t>
      </w:r>
      <w:r>
        <w:rPr>
          <w:rFonts w:ascii="仿宋_GB2312" w:hAnsi="仿宋_GB2312" w:cs="仿宋_GB2312" w:eastAsia="仿宋_GB2312"/>
          <w:sz w:val="20"/>
          <w:b/>
        </w:rPr>
        <w:t>业务测试</w:t>
      </w:r>
    </w:p>
    <w:p>
      <w:pPr>
        <w:pStyle w:val="null3"/>
        <w:jc w:val="left"/>
      </w:pPr>
      <w:r>
        <w:rPr>
          <w:rFonts w:ascii="仿宋_GB2312" w:hAnsi="仿宋_GB2312" w:cs="仿宋_GB2312" w:eastAsia="仿宋_GB2312"/>
          <w:sz w:val="20"/>
        </w:rPr>
        <w:t>涉及预生产环境与生产环境，在预生产环境进行相关的业务测试以及培训相关的工作，在完成各项准备工作后正式启用生产环境。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、申请与测试核算系统域名与策略</w:t>
      </w:r>
    </w:p>
    <w:p>
      <w:pPr>
        <w:pStyle w:val="null3"/>
        <w:jc w:val="left"/>
      </w:pPr>
      <w:r>
        <w:rPr>
          <w:rFonts w:ascii="仿宋_GB2312" w:hAnsi="仿宋_GB2312" w:cs="仿宋_GB2312" w:eastAsia="仿宋_GB2312"/>
          <w:sz w:val="20"/>
        </w:rPr>
        <w:t>新会统核算系统部署完成后，根据应用部署产生的负载地址申请内网专用域名，以及开通税务人内网PC机、其他关联系统的服务器访问域名地址的安全策略，对域名以及对应安全策略的测试验证，确保税务人以及其他关联系统的正常访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、与关联系统的联调测试，包含以下关联系统：</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）税智撑数据治理：任务中心的公共组件集成与联调测试。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）新电局：一方面是税务人端的门户页面集成，将新会统核算系统的水上应用集成至新电局税务人端门户；另一方面是对于税收预测纳税人端的采集功能，与新电局纳税人端的应用集成。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）自然人电子税务局：与自然人电子税务局的MQ数据集成以及应用集成。</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）可信系统：与可信系统的应用集成，对税务人身份的认证管理以及岗责的设置维护。</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）税智撑数字账户：与数字账户的应用集成，获取税收预测的算税数据。</w:t>
      </w:r>
    </w:p>
    <w:p>
      <w:pPr>
        <w:pStyle w:val="null3"/>
        <w:jc w:val="left"/>
      </w:pPr>
      <w:r>
        <w:rPr>
          <w:rFonts w:ascii="仿宋_GB2312" w:hAnsi="仿宋_GB2312" w:cs="仿宋_GB2312" w:eastAsia="仿宋_GB2312"/>
          <w:sz w:val="20"/>
          <w:b/>
        </w:rPr>
        <w:t>2.2.5</w:t>
      </w:r>
      <w:r>
        <w:rPr>
          <w:rFonts w:ascii="仿宋_GB2312" w:hAnsi="仿宋_GB2312" w:cs="仿宋_GB2312" w:eastAsia="仿宋_GB2312"/>
          <w:sz w:val="20"/>
          <w:b/>
        </w:rPr>
        <w:t>压力测试</w:t>
      </w:r>
    </w:p>
    <w:p>
      <w:pPr>
        <w:pStyle w:val="null3"/>
        <w:jc w:val="left"/>
      </w:pPr>
      <w:r>
        <w:rPr>
          <w:rFonts w:ascii="仿宋_GB2312" w:hAnsi="仿宋_GB2312" w:cs="仿宋_GB2312" w:eastAsia="仿宋_GB2312"/>
          <w:sz w:val="20"/>
        </w:rPr>
        <w:t>在生产环境对重点业务场景进行性能压力测试，评估判定资源的配置优化建议。</w:t>
      </w:r>
    </w:p>
    <w:p>
      <w:pPr>
        <w:pStyle w:val="null3"/>
        <w:jc w:val="left"/>
      </w:pPr>
      <w:r>
        <w:rPr>
          <w:rFonts w:ascii="仿宋_GB2312" w:hAnsi="仿宋_GB2312" w:cs="仿宋_GB2312" w:eastAsia="仿宋_GB2312"/>
          <w:sz w:val="20"/>
        </w:rPr>
        <w:t>解决应用环境出现的相关网络安全问题，包括安全基线检查、漏洞扫描检查等。</w:t>
      </w:r>
    </w:p>
    <w:p>
      <w:pPr>
        <w:pStyle w:val="null3"/>
        <w:jc w:val="left"/>
      </w:pPr>
      <w:r>
        <w:rPr>
          <w:rFonts w:ascii="仿宋_GB2312" w:hAnsi="仿宋_GB2312" w:cs="仿宋_GB2312" w:eastAsia="仿宋_GB2312"/>
          <w:sz w:val="20"/>
          <w:b/>
        </w:rPr>
        <w:t>2.2.6</w:t>
      </w:r>
      <w:r>
        <w:rPr>
          <w:rFonts w:ascii="仿宋_GB2312" w:hAnsi="仿宋_GB2312" w:cs="仿宋_GB2312" w:eastAsia="仿宋_GB2312"/>
          <w:sz w:val="20"/>
          <w:b/>
        </w:rPr>
        <w:t>安全加固</w:t>
      </w:r>
    </w:p>
    <w:p>
      <w:pPr>
        <w:pStyle w:val="null3"/>
        <w:jc w:val="left"/>
      </w:pPr>
      <w:r>
        <w:rPr>
          <w:rFonts w:ascii="仿宋_GB2312" w:hAnsi="仿宋_GB2312" w:cs="仿宋_GB2312" w:eastAsia="仿宋_GB2312"/>
          <w:sz w:val="20"/>
        </w:rPr>
        <w:t>完成慧办平台（收规模块部分）生产环境与预生产环境出现的网络安全问题（包括但不限于安全基线检查、漏洞扫描检查、安全功能检测和渗透测试检查等），配合采购人进行安全整改、修复及加固等技术支持工作。</w:t>
      </w:r>
    </w:p>
    <w:p>
      <w:pPr>
        <w:pStyle w:val="null3"/>
        <w:jc w:val="left"/>
      </w:pPr>
      <w:r>
        <w:rPr>
          <w:rFonts w:ascii="仿宋_GB2312" w:hAnsi="仿宋_GB2312" w:cs="仿宋_GB2312" w:eastAsia="仿宋_GB2312"/>
          <w:sz w:val="20"/>
          <w:b/>
        </w:rPr>
        <w:t>2.2.7</w:t>
      </w:r>
      <w:r>
        <w:rPr>
          <w:rFonts w:ascii="仿宋_GB2312" w:hAnsi="仿宋_GB2312" w:cs="仿宋_GB2312" w:eastAsia="仿宋_GB2312"/>
          <w:sz w:val="20"/>
          <w:b/>
        </w:rPr>
        <w:t>上线切换</w:t>
      </w:r>
    </w:p>
    <w:p>
      <w:pPr>
        <w:pStyle w:val="null3"/>
        <w:jc w:val="left"/>
      </w:pPr>
      <w:r>
        <w:rPr>
          <w:rFonts w:ascii="仿宋_GB2312" w:hAnsi="仿宋_GB2312" w:cs="仿宋_GB2312" w:eastAsia="仿宋_GB2312"/>
          <w:sz w:val="20"/>
        </w:rPr>
        <w:t>完成慧办平台（收规模块部分）上线切换阶段提供技术支持工作，包括但不限于应用地址切换、基础参数配置检查、数据链路切换、数据初始化、数据一致性验证、其他应用基础环境初始化、开机及业务场景测试等工作。</w:t>
      </w:r>
    </w:p>
    <w:p>
      <w:pPr>
        <w:pStyle w:val="null3"/>
        <w:jc w:val="left"/>
      </w:pPr>
      <w:r>
        <w:rPr>
          <w:rFonts w:ascii="仿宋_GB2312" w:hAnsi="仿宋_GB2312" w:cs="仿宋_GB2312" w:eastAsia="仿宋_GB2312"/>
          <w:sz w:val="20"/>
          <w:b/>
        </w:rPr>
        <w:t xml:space="preserve">2.2.8 </w:t>
      </w:r>
      <w:r>
        <w:rPr>
          <w:rFonts w:ascii="仿宋_GB2312" w:hAnsi="仿宋_GB2312" w:cs="仿宋_GB2312" w:eastAsia="仿宋_GB2312"/>
          <w:sz w:val="20"/>
          <w:b/>
        </w:rPr>
        <w:t>上线培训辅导</w:t>
      </w:r>
    </w:p>
    <w:p>
      <w:pPr>
        <w:pStyle w:val="null3"/>
        <w:jc w:val="left"/>
      </w:pPr>
      <w:r>
        <w:rPr>
          <w:rFonts w:ascii="仿宋_GB2312" w:hAnsi="仿宋_GB2312" w:cs="仿宋_GB2312" w:eastAsia="仿宋_GB2312"/>
          <w:sz w:val="20"/>
        </w:rPr>
        <w:t>支持试点地市开展业务系统操作培训。解答局方培训过程中遇到的操作问题。</w:t>
      </w:r>
    </w:p>
    <w:p>
      <w:pPr>
        <w:pStyle w:val="null3"/>
        <w:jc w:val="left"/>
      </w:pPr>
      <w:r>
        <w:rPr>
          <w:rFonts w:ascii="仿宋_GB2312" w:hAnsi="仿宋_GB2312" w:cs="仿宋_GB2312" w:eastAsia="仿宋_GB2312"/>
          <w:sz w:val="20"/>
        </w:rPr>
        <w:t>支持试点地市在预生产环境进行相关的业务测试，解决局方在业务测试过程中出现的问题，确保部署的准确性与可用性。</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、会统核算业务</w:t>
      </w:r>
    </w:p>
    <w:p>
      <w:pPr>
        <w:pStyle w:val="null3"/>
        <w:jc w:val="left"/>
      </w:pPr>
      <w:r>
        <w:rPr>
          <w:rFonts w:ascii="仿宋_GB2312" w:hAnsi="仿宋_GB2312" w:cs="仿宋_GB2312" w:eastAsia="仿宋_GB2312"/>
          <w:sz w:val="20"/>
        </w:rPr>
        <w:t>一是期初结转、实时核算、按日（按需）核算记账；二是与自然人电子税务局系统的应用统一集成测试，同一操作多系统同时响应；三是报表加工、报表审核、复核、上报、汇总的机生机汇模式的流程测试。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、会计监督业务</w:t>
      </w:r>
    </w:p>
    <w:p>
      <w:pPr>
        <w:pStyle w:val="null3"/>
        <w:jc w:val="left"/>
      </w:pPr>
      <w:r>
        <w:rPr>
          <w:rFonts w:ascii="仿宋_GB2312" w:hAnsi="仿宋_GB2312" w:cs="仿宋_GB2312" w:eastAsia="仿宋_GB2312"/>
          <w:sz w:val="20"/>
        </w:rPr>
        <w:t>会计监督系统任务以及人工任务的多层级、多部门的全流程的业务测试。</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、税收预测业务</w:t>
      </w:r>
    </w:p>
    <w:p>
      <w:pPr>
        <w:pStyle w:val="null3"/>
        <w:jc w:val="left"/>
      </w:pPr>
      <w:r>
        <w:rPr>
          <w:rFonts w:ascii="仿宋_GB2312" w:hAnsi="仿宋_GB2312" w:cs="仿宋_GB2312" w:eastAsia="仿宋_GB2312"/>
          <w:sz w:val="20"/>
        </w:rPr>
        <w:t>税收预测直报企业从认定、填报、审核、上报、数据分析的全流程测试。</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、综合报表设计任务</w:t>
      </w:r>
    </w:p>
    <w:p>
      <w:pPr>
        <w:pStyle w:val="null3"/>
        <w:jc w:val="left"/>
      </w:pPr>
      <w:r>
        <w:rPr>
          <w:rFonts w:ascii="仿宋_GB2312" w:hAnsi="仿宋_GB2312" w:cs="仿宋_GB2312" w:eastAsia="仿宋_GB2312"/>
          <w:sz w:val="20"/>
        </w:rPr>
        <w:t>综合报表相关任务的报表设计、数据源设置、计算审核公式的设定以及任务的编辑与发布的全流程测试。</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、综合报表运行任务</w:t>
      </w:r>
    </w:p>
    <w:p>
      <w:pPr>
        <w:pStyle w:val="null3"/>
        <w:jc w:val="left"/>
      </w:pPr>
      <w:r>
        <w:rPr>
          <w:rFonts w:ascii="仿宋_GB2312" w:hAnsi="仿宋_GB2312" w:cs="仿宋_GB2312" w:eastAsia="仿宋_GB2312"/>
          <w:sz w:val="20"/>
        </w:rPr>
        <w:t>综合报表相关任务的数据下载、查询、计算、审核以及疑点监督处理、数据分析测试。。</w:t>
      </w:r>
    </w:p>
    <w:p>
      <w:pPr>
        <w:pStyle w:val="null3"/>
        <w:jc w:val="left"/>
      </w:pPr>
      <w:r>
        <w:rPr>
          <w:rFonts w:ascii="仿宋_GB2312" w:hAnsi="仿宋_GB2312" w:cs="仿宋_GB2312" w:eastAsia="仿宋_GB2312"/>
          <w:sz w:val="20"/>
          <w:b/>
        </w:rPr>
        <w:t>2.2.09</w:t>
      </w:r>
      <w:r>
        <w:rPr>
          <w:rFonts w:ascii="仿宋_GB2312" w:hAnsi="仿宋_GB2312" w:cs="仿宋_GB2312" w:eastAsia="仿宋_GB2312"/>
          <w:sz w:val="20"/>
          <w:b/>
        </w:rPr>
        <w:t>日常运行支持</w:t>
      </w:r>
    </w:p>
    <w:p>
      <w:pPr>
        <w:pStyle w:val="null3"/>
        <w:jc w:val="left"/>
      </w:pPr>
      <w:r>
        <w:rPr>
          <w:rFonts w:ascii="仿宋_GB2312" w:hAnsi="仿宋_GB2312" w:cs="仿宋_GB2312" w:eastAsia="仿宋_GB2312"/>
          <w:sz w:val="20"/>
        </w:rPr>
        <w:t>提供2*12人月的日常运行支持，包括环境保障、版本发布、数据分析调整等工作。</w:t>
      </w:r>
    </w:p>
    <w:p>
      <w:pPr>
        <w:pStyle w:val="null3"/>
        <w:jc w:val="left"/>
      </w:pPr>
      <w:r>
        <w:rPr>
          <w:rFonts w:ascii="仿宋_GB2312" w:hAnsi="仿宋_GB2312" w:cs="仿宋_GB2312" w:eastAsia="仿宋_GB2312"/>
          <w:sz w:val="20"/>
          <w:b/>
        </w:rPr>
        <w:t>2.2.10</w:t>
      </w:r>
      <w:r>
        <w:rPr>
          <w:rFonts w:ascii="仿宋_GB2312" w:hAnsi="仿宋_GB2312" w:cs="仿宋_GB2312" w:eastAsia="仿宋_GB2312"/>
          <w:sz w:val="20"/>
          <w:b/>
        </w:rPr>
        <w:t>数据分析和处理</w:t>
      </w:r>
    </w:p>
    <w:p>
      <w:pPr>
        <w:pStyle w:val="null3"/>
        <w:jc w:val="left"/>
      </w:pPr>
      <w:r>
        <w:rPr>
          <w:rFonts w:ascii="仿宋_GB2312" w:hAnsi="仿宋_GB2312" w:cs="仿宋_GB2312" w:eastAsia="仿宋_GB2312"/>
          <w:sz w:val="20"/>
        </w:rPr>
        <w:t>对试点地市的期初结转，以及比对年初数据和实际业务数据分析其差异原因，协助税务干部对错误数据更正处理。</w:t>
      </w:r>
    </w:p>
    <w:p>
      <w:pPr>
        <w:pStyle w:val="null3"/>
        <w:jc w:val="left"/>
      </w:pPr>
      <w:r>
        <w:rPr>
          <w:rFonts w:ascii="仿宋_GB2312" w:hAnsi="仿宋_GB2312" w:cs="仿宋_GB2312" w:eastAsia="仿宋_GB2312"/>
          <w:sz w:val="20"/>
        </w:rPr>
        <w:t>帮助完成试点地区的数据收集与预处理，描述数据的来源，说明如何清洗数据、加工数据、转换数据；介绍使用的数据分析方法，如果适用，描述将采用的算法，如分类、聚类、降维等；结果解释与应用，对分析结果进行详细解释，包括统计显著性、模型预测能力，讨论如何将分析结果应用于实际问题；数据安全与隐私保护措施，描述在数据处理过程中采取的数据保护措施，以确保数据安全和隐私；技术与工具，列出用于数据分析和处理的软件工具和所需资源。</w:t>
      </w:r>
    </w:p>
    <w:p>
      <w:pPr>
        <w:pStyle w:val="null3"/>
        <w:jc w:val="left"/>
      </w:pPr>
      <w:r>
        <w:rPr>
          <w:rFonts w:ascii="仿宋_GB2312" w:hAnsi="仿宋_GB2312" w:cs="仿宋_GB2312" w:eastAsia="仿宋_GB2312"/>
          <w:sz w:val="20"/>
          <w:b/>
        </w:rPr>
        <w:t>第三章 服务要求</w:t>
      </w:r>
    </w:p>
    <w:p>
      <w:pPr>
        <w:pStyle w:val="null3"/>
        <w:jc w:val="left"/>
      </w:pPr>
      <w:r>
        <w:rPr>
          <w:rFonts w:ascii="仿宋_GB2312" w:hAnsi="仿宋_GB2312" w:cs="仿宋_GB2312" w:eastAsia="仿宋_GB2312"/>
          <w:sz w:val="20"/>
          <w:b/>
        </w:rPr>
        <w:t xml:space="preserve">3.1 </w:t>
      </w:r>
      <w:r>
        <w:rPr>
          <w:rFonts w:ascii="仿宋_GB2312" w:hAnsi="仿宋_GB2312" w:cs="仿宋_GB2312" w:eastAsia="仿宋_GB2312"/>
          <w:sz w:val="20"/>
          <w:b/>
        </w:rPr>
        <w:t>总体要求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投标人应按照采购需求的要求提供详细的技术建议书。投标人提供的各项建议方案应完全符合采购人指明的标准，并满足或高于采购人的要求。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投标人在其技术建议书中，对需求中所提各项要求能否实现与满足，应逐项诚实地予以说明和答复。对本建议书中某项回答过于简单或未作明确答复的，将视为不能满足该项要求。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投标人以弄虚作假等欺诈手段中标或参与磋商的授权代表来自同一企业的，省税务局对所造成的损失有权追究中标供应商的法律责任和经济赔偿。</w:t>
      </w:r>
    </w:p>
    <w:p>
      <w:pPr>
        <w:pStyle w:val="null3"/>
        <w:jc w:val="left"/>
      </w:pPr>
      <w:r>
        <w:rPr>
          <w:rFonts w:ascii="仿宋_GB2312" w:hAnsi="仿宋_GB2312" w:cs="仿宋_GB2312" w:eastAsia="仿宋_GB2312"/>
          <w:sz w:val="20"/>
          <w:b/>
        </w:rPr>
        <w:t xml:space="preserve">3.2 </w:t>
      </w:r>
      <w:r>
        <w:rPr>
          <w:rFonts w:ascii="仿宋_GB2312" w:hAnsi="仿宋_GB2312" w:cs="仿宋_GB2312" w:eastAsia="仿宋_GB2312"/>
          <w:sz w:val="20"/>
          <w:b/>
        </w:rPr>
        <w:t>保密要求</w:t>
      </w:r>
    </w:p>
    <w:p>
      <w:pPr>
        <w:pStyle w:val="null3"/>
        <w:jc w:val="left"/>
      </w:pPr>
      <w:r>
        <w:rPr>
          <w:rFonts w:ascii="仿宋_GB2312" w:hAnsi="仿宋_GB2312" w:cs="仿宋_GB2312" w:eastAsia="仿宋_GB2312"/>
          <w:sz w:val="20"/>
        </w:rPr>
        <w:t>中标人及其驻场人员需与采购人签订保密协议，驻场人员应遵循采购人的各项规章制度。所接触的广东税务专有信息仅限于本人在本项目中使用，不得向他人泄露，更不得用于演示或宣传。</w:t>
      </w:r>
    </w:p>
    <w:p>
      <w:pPr>
        <w:pStyle w:val="null3"/>
        <w:jc w:val="left"/>
      </w:pPr>
      <w:r>
        <w:rPr>
          <w:rFonts w:ascii="仿宋_GB2312" w:hAnsi="仿宋_GB2312" w:cs="仿宋_GB2312" w:eastAsia="仿宋_GB2312"/>
          <w:sz w:val="20"/>
          <w:b/>
        </w:rPr>
        <w:t>3.3</w:t>
      </w:r>
      <w:r>
        <w:rPr>
          <w:rFonts w:ascii="仿宋_GB2312" w:hAnsi="仿宋_GB2312" w:cs="仿宋_GB2312" w:eastAsia="仿宋_GB2312"/>
          <w:sz w:val="20"/>
          <w:b/>
        </w:rPr>
        <w:t>对服务方的要求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服务期间，中标人须按时提交月报并按照系统上线工作计划在里程碑节点提交工作报告，包括但不限于系统联调测试报告、压力测试报告、用户测试报告、系统上线切换报告等产出物；上线运行后根据需求执行版本发布工作；及时响应处置问题，提交周报、月报。上述工作应评估工作量，并由采购人审核确认；服务工作结束后，须提交总结报告，由采购人进行评估验收。</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中标人应配合采购人进行人员管理，驻场人员要服从采购人的日常管理，包括考勤管理、有关规章制度约束等。准确填写并及时更新服务人员名册。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服务地点由采购人指定，驻场服务往返交通方式及费用、食宿费由中标人自行负责。</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用户有权要求更换不符合工作要求的相关人员；若驻场的人员有变更，需提前1周书面通知用户，经用户同意后才能更换；驻场人员不得从事与本项目无关工作。</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投标书需提供项目团队成员及简历等相关证明文件（参见评分标准的相关要求），投标时明确的人员将作为投标人实际安排人员，如变更需提出书面申请并经用户书面同意。</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服务地点由采购人指定，驻场服务往返交通方式及费用、食宿费、办公电脑由中标人自行负责。</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中标人应提供项目经理一名，负责协调本项目相关服务事项的所有人员及资源调配，项目经理应具有丰富的信息系统运营经验，具有项目管理方面资质。</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项目团队人员（项目经理、技术经理除外）应覆盖应用系统集成管控、环境搭建、应用初始化、业务测试、压力测试、安全加固、上线切换、上线培训辅导、日常技术支持、扩围期环境保障、扩围期培训辅导等岗位人员，具备一年或以上系统运行维护或开发的经验。</w:t>
      </w:r>
    </w:p>
    <w:p>
      <w:pPr>
        <w:pStyle w:val="null3"/>
        <w:jc w:val="left"/>
      </w:pPr>
      <w:r>
        <w:rPr>
          <w:rFonts w:ascii="仿宋_GB2312" w:hAnsi="仿宋_GB2312" w:cs="仿宋_GB2312" w:eastAsia="仿宋_GB2312"/>
          <w:sz w:val="20"/>
          <w:b/>
        </w:rPr>
        <w:t>3.4</w:t>
      </w:r>
      <w:r>
        <w:rPr>
          <w:rFonts w:ascii="仿宋_GB2312" w:hAnsi="仿宋_GB2312" w:cs="仿宋_GB2312" w:eastAsia="仿宋_GB2312"/>
          <w:sz w:val="20"/>
          <w:b/>
        </w:rPr>
        <w:t>知识转移和培训</w:t>
      </w:r>
    </w:p>
    <w:p>
      <w:pPr>
        <w:pStyle w:val="null3"/>
        <w:jc w:val="left"/>
      </w:pPr>
      <w:r>
        <w:rPr>
          <w:rFonts w:ascii="仿宋_GB2312" w:hAnsi="仿宋_GB2312" w:cs="仿宋_GB2312" w:eastAsia="仿宋_GB2312"/>
          <w:sz w:val="20"/>
        </w:rPr>
        <w:t>中标人要采取有效方法、途径保证采购人能顺利完成本项目服务过程中各阶段服务方案产出的吸收和转移。</w:t>
      </w:r>
    </w:p>
    <w:p>
      <w:pPr>
        <w:pStyle w:val="null3"/>
        <w:jc w:val="left"/>
      </w:pPr>
      <w:r>
        <w:rPr>
          <w:rFonts w:ascii="仿宋_GB2312" w:hAnsi="仿宋_GB2312" w:cs="仿宋_GB2312" w:eastAsia="仿宋_GB2312"/>
          <w:sz w:val="20"/>
          <w:b/>
        </w:rPr>
        <w:t>3.5</w:t>
      </w:r>
      <w:r>
        <w:rPr>
          <w:rFonts w:ascii="仿宋_GB2312" w:hAnsi="仿宋_GB2312" w:cs="仿宋_GB2312" w:eastAsia="仿宋_GB2312"/>
          <w:sz w:val="20"/>
          <w:b/>
        </w:rPr>
        <w:t>知识产权</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中标人在服务过程中产生的所有技术资料、提交件的知识产权归采购人所有。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中标人交付给采购人的成果不得侵犯第三方的合法权益。如果采购人因使用本项目成果或其中一部分而被第三方起诉侵犯其专利权、商标权或其它知识产权，中标人将依法承担相应的法律责任。</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中标人为执行本合同而提供的与本合同无关的单位或个人的技术资料、软件、工具及中标人已有知识产权产品的使用权归采购人所有。</w:t>
      </w:r>
    </w:p>
    <w:p>
      <w:pPr>
        <w:pStyle w:val="null3"/>
        <w:jc w:val="left"/>
      </w:pPr>
      <w:r>
        <w:rPr>
          <w:rFonts w:ascii="仿宋_GB2312" w:hAnsi="仿宋_GB2312" w:cs="仿宋_GB2312" w:eastAsia="仿宋_GB2312"/>
          <w:sz w:val="20"/>
          <w:b/>
        </w:rPr>
        <w:t>3.6</w:t>
      </w:r>
      <w:r>
        <w:rPr>
          <w:rFonts w:ascii="仿宋_GB2312" w:hAnsi="仿宋_GB2312" w:cs="仿宋_GB2312" w:eastAsia="仿宋_GB2312"/>
          <w:sz w:val="20"/>
          <w:b/>
        </w:rPr>
        <w:t>责任追究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提供的服务不符合采购文件、本合同要求的，采购人有权拒收并要求中标人进行整改，并且采购人有权要求中标人支付本合同总价5%的违约金；中标人5日内未完成整改或者整改后仍不符合要求的，采购人有权解除合同并要求中标人支付合同总价30%的违约金；因此造成采购人损失的，中标人应承担全部的赔偿责任。。</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未能按本合同约定的时间提供服务，从逾期之日起每日按本合同总价5‰的数额向采购人支付违约金；逾期15天及以上的，采购人有权解除合同，双方按已提供服务的期限及内容结算服务费后，中标人向采购人支付本合同总额30%的违约金；由此造成的采购人经济损失由中标人承担，包括但不限于采购人委托第三方处理产生的费用等。</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未按照采购文件、本合同约定的要求提供服务，引发金税三期核心征管系统、外部交换系统、税库银系统、社保费标准版、增值税发票管理系统（含税控和底账）、电子税务局等全省业务系统以及税务数字证书系统（省税务局端）、密码服务组件系统、双向安全交换系统等基础系统出现故障（不可抗力因素除外），导致全省范围内业务中断，持续时间超过4小时，中标人须按照合同总价款的10%向采购人支付违约金；因此造成采购人造成损失的，中标人需承担赔偿责任。若故障未能在24小时内解决，或者类似事故一个月内发生2次以上，采购人有权解除本合同，并且不予支付合同尾款。</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采购人逾期付款，每日按应付未付款的万分之一向中标人偿付违约金，违约金总额累计不超过合同总金额的5%。</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中标人不得另行开发本合同业务需求范围内、供纳税人(或缴费人)使用的软件,如有违反，采购人有权将中标人纳入税务系统信息化服务商失信名单</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在本项目实施过程中出现违反网络安全规定行为，造成数据失窃或丢失、敏感信息泄露、主要业务系统瘫痪等不良后果的，自采购人或采购人主管机关做出认定之日起三年内，采购人及税务系统各单位可以拒绝中标人参与税务系统政府采购活动。</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中标人不得违法违规聘用离职的税务机关人员。中标人违法违规聘用离职税务机关人员的，采购人有权视情况采取以下一项或多项措施：</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①采购人要求中标人限期改正；</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②中标人按合同总价10%的数额向采购人支付违约金；</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③中标人3年内不得参加所聘人员原单位及下属单位的信息化项目政府采购活动；</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④采购人有权解除部分或全部合同；</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中标人需保证所提供服务的正常运作，如因中标人原因出现纳税人投诉或相关部门反馈监督意见等情形的，每出现一次中标人需支付本合同总额1%违约金，并赔偿采购人遭受的损失。</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如中标人存在违背保密协议或廉政协议约定义务的行为，采购人有权解除合同，中标人须一次性支付本合同总额30%的违约金，由此造成的采购人经济损失由中标人承担。</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中标人因违反本合同约定所需承担的违约金、赔偿金等，采购人有权直接于应付款中予以扣除，如不足以抵扣的中标人须赔偿补足。</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本合同履行过程中一方违约的，违约方应赔偿守约方的损失，包括但不限于律师费、诉讼/仲裁费、公证费、差旅费、保全费、担保保函费等费用。</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中标人在合同履行期间存在“围猎”采购人税务人员行为的（指以获取不正当利益为目的，采取馈赠礼品礼金、邀请娱乐旅游消费、提供便利条件等非正常交往手段“围猎”相关税务人员及其亲属），自采购人及采购人主管机关认定或通报之日起三年内，采购人可以拒绝中标人参与其政府采购活动。</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采购方可以对《税务系统信息化服务商失信行为记录名单制度(试行)》制度列举的失信行为进行认定，经其认定存在失信行为的服务商，3年内限制参加税收信息化项目政府采购活动。</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其它违约责任按《中华人民共和国民法典》处理。</w:t>
      </w:r>
    </w:p>
    <w:p>
      <w:pPr>
        <w:pStyle w:val="null3"/>
        <w:jc w:val="left"/>
      </w:pPr>
      <w:r>
        <w:rPr>
          <w:rFonts w:ascii="仿宋_GB2312" w:hAnsi="仿宋_GB2312" w:cs="仿宋_GB2312" w:eastAsia="仿宋_GB2312"/>
          <w:sz w:val="20"/>
          <w:b/>
        </w:rPr>
        <w:t>3.7</w:t>
      </w:r>
      <w:r>
        <w:rPr>
          <w:rFonts w:ascii="仿宋_GB2312" w:hAnsi="仿宋_GB2312" w:cs="仿宋_GB2312" w:eastAsia="仿宋_GB2312"/>
          <w:sz w:val="20"/>
          <w:b/>
        </w:rPr>
        <w:t>服务期限及进度要求</w:t>
      </w:r>
    </w:p>
    <w:p>
      <w:pPr>
        <w:pStyle w:val="null3"/>
        <w:jc w:val="left"/>
      </w:pPr>
      <w:r>
        <w:rPr>
          <w:rFonts w:ascii="仿宋_GB2312" w:hAnsi="仿宋_GB2312" w:cs="仿宋_GB2312" w:eastAsia="仿宋_GB2312"/>
          <w:sz w:val="20"/>
        </w:rPr>
        <w:t>项目服务期限：根据广东省税务局初步编制的上线推广计划，自合同签订之日起提供上线技术支持，并按计划完成扩围工作。</w:t>
      </w:r>
    </w:p>
    <w:p>
      <w:pPr>
        <w:pStyle w:val="null3"/>
        <w:jc w:val="left"/>
      </w:pPr>
      <w:r>
        <w:rPr>
          <w:rFonts w:ascii="仿宋_GB2312" w:hAnsi="仿宋_GB2312" w:cs="仿宋_GB2312" w:eastAsia="仿宋_GB2312"/>
          <w:sz w:val="20"/>
          <w:b/>
        </w:rPr>
        <w:t>3.8</w:t>
      </w:r>
      <w:r>
        <w:rPr>
          <w:rFonts w:ascii="仿宋_GB2312" w:hAnsi="仿宋_GB2312" w:cs="仿宋_GB2312" w:eastAsia="仿宋_GB2312"/>
          <w:sz w:val="20"/>
          <w:b/>
        </w:rPr>
        <w:t>项目实施地点</w:t>
      </w:r>
    </w:p>
    <w:p>
      <w:pPr>
        <w:pStyle w:val="null3"/>
        <w:jc w:val="left"/>
      </w:pPr>
      <w:r>
        <w:rPr>
          <w:rFonts w:ascii="仿宋_GB2312" w:hAnsi="仿宋_GB2312" w:cs="仿宋_GB2312" w:eastAsia="仿宋_GB2312"/>
          <w:sz w:val="20"/>
        </w:rPr>
        <w:t>按照用户要求，包括但不限于广东省各级税务部门。</w:t>
      </w:r>
    </w:p>
    <w:p>
      <w:pPr>
        <w:pStyle w:val="null3"/>
        <w:jc w:val="left"/>
      </w:pPr>
      <w:r>
        <w:rPr>
          <w:rFonts w:ascii="仿宋_GB2312" w:hAnsi="仿宋_GB2312" w:cs="仿宋_GB2312" w:eastAsia="仿宋_GB2312"/>
          <w:sz w:val="20"/>
          <w:b/>
        </w:rPr>
        <w:t xml:space="preserve">3.9 </w:t>
      </w:r>
      <w:r>
        <w:rPr>
          <w:rFonts w:ascii="仿宋_GB2312" w:hAnsi="仿宋_GB2312" w:cs="仿宋_GB2312" w:eastAsia="仿宋_GB2312"/>
          <w:sz w:val="20"/>
          <w:b/>
        </w:rPr>
        <w:t>投标文件内容要求</w:t>
      </w:r>
    </w:p>
    <w:p>
      <w:pPr>
        <w:pStyle w:val="null3"/>
        <w:jc w:val="left"/>
      </w:pPr>
      <w:r>
        <w:rPr>
          <w:rFonts w:ascii="仿宋_GB2312" w:hAnsi="仿宋_GB2312" w:cs="仿宋_GB2312" w:eastAsia="仿宋_GB2312"/>
          <w:sz w:val="20"/>
        </w:rPr>
        <w:t>投标人在投标文件中需包括以下内容：</w:t>
      </w:r>
    </w:p>
    <w:p>
      <w:pPr>
        <w:pStyle w:val="null3"/>
        <w:jc w:val="left"/>
      </w:pPr>
      <w:r>
        <w:rPr>
          <w:rFonts w:ascii="仿宋_GB2312" w:hAnsi="仿宋_GB2312" w:cs="仿宋_GB2312" w:eastAsia="仿宋_GB2312"/>
          <w:sz w:val="20"/>
        </w:rPr>
        <w:t>（1）系统技术方案，主要技术特点介绍应针对本项目的技术需求以及技术设计、技术管理。</w:t>
      </w:r>
    </w:p>
    <w:p>
      <w:pPr>
        <w:pStyle w:val="null3"/>
        <w:jc w:val="left"/>
      </w:pPr>
      <w:r>
        <w:rPr>
          <w:rFonts w:ascii="仿宋_GB2312" w:hAnsi="仿宋_GB2312" w:cs="仿宋_GB2312" w:eastAsia="仿宋_GB2312"/>
          <w:sz w:val="20"/>
        </w:rPr>
        <w:t>（2）服务方案，包括服务团队架构、工作流程、质量管控、进度管控等。</w:t>
      </w:r>
    </w:p>
    <w:p>
      <w:pPr>
        <w:pStyle w:val="null3"/>
        <w:jc w:val="left"/>
      </w:pPr>
      <w:r>
        <w:rPr>
          <w:rFonts w:ascii="仿宋_GB2312" w:hAnsi="仿宋_GB2312" w:cs="仿宋_GB2312" w:eastAsia="仿宋_GB2312"/>
          <w:sz w:val="20"/>
        </w:rPr>
        <w:t>（3）项目整体实施方案，包括系统部署方案、数据加工方案、应用初始化方案、应用联调方案等。</w:t>
      </w:r>
    </w:p>
    <w:p>
      <w:pPr>
        <w:pStyle w:val="null3"/>
        <w:jc w:val="left"/>
      </w:pPr>
      <w:r>
        <w:rPr>
          <w:rFonts w:ascii="仿宋_GB2312" w:hAnsi="仿宋_GB2312" w:cs="仿宋_GB2312" w:eastAsia="仿宋_GB2312"/>
          <w:sz w:val="20"/>
          <w:b/>
        </w:rPr>
        <w:t>第四章 采购要求</w:t>
      </w:r>
    </w:p>
    <w:p>
      <w:pPr>
        <w:pStyle w:val="null3"/>
        <w:jc w:val="left"/>
      </w:pPr>
      <w:r>
        <w:rPr>
          <w:rFonts w:ascii="仿宋_GB2312" w:hAnsi="仿宋_GB2312" w:cs="仿宋_GB2312" w:eastAsia="仿宋_GB2312"/>
          <w:sz w:val="20"/>
          <w:b/>
        </w:rPr>
        <w:t>4.1</w:t>
      </w:r>
      <w:r>
        <w:rPr>
          <w:rFonts w:ascii="仿宋_GB2312" w:hAnsi="仿宋_GB2312" w:cs="仿宋_GB2312" w:eastAsia="仿宋_GB2312"/>
          <w:sz w:val="20"/>
          <w:b/>
        </w:rPr>
        <w:t>采购方式</w:t>
      </w:r>
    </w:p>
    <w:p>
      <w:pPr>
        <w:pStyle w:val="null3"/>
        <w:jc w:val="left"/>
      </w:pPr>
      <w:r>
        <w:rPr>
          <w:rFonts w:ascii="仿宋_GB2312" w:hAnsi="仿宋_GB2312" w:cs="仿宋_GB2312" w:eastAsia="仿宋_GB2312"/>
          <w:sz w:val="20"/>
        </w:rPr>
        <w:t>公开招标</w:t>
      </w:r>
    </w:p>
    <w:p>
      <w:pPr>
        <w:pStyle w:val="null3"/>
        <w:jc w:val="left"/>
      </w:pPr>
      <w:r>
        <w:rPr>
          <w:rFonts w:ascii="仿宋_GB2312" w:hAnsi="仿宋_GB2312" w:cs="仿宋_GB2312" w:eastAsia="仿宋_GB2312"/>
          <w:sz w:val="20"/>
          <w:b/>
        </w:rPr>
        <w:t>4.2</w:t>
      </w:r>
      <w:r>
        <w:rPr>
          <w:rFonts w:ascii="仿宋_GB2312" w:hAnsi="仿宋_GB2312" w:cs="仿宋_GB2312" w:eastAsia="仿宋_GB2312"/>
          <w:sz w:val="20"/>
          <w:b/>
        </w:rPr>
        <w:t>项目预算(仅需列出项目预算总价)</w:t>
      </w:r>
    </w:p>
    <w:p>
      <w:pPr>
        <w:pStyle w:val="null3"/>
        <w:jc w:val="left"/>
      </w:pPr>
      <w:r>
        <w:rPr>
          <w:rFonts w:ascii="仿宋_GB2312" w:hAnsi="仿宋_GB2312" w:cs="仿宋_GB2312" w:eastAsia="仿宋_GB2312"/>
          <w:sz w:val="20"/>
        </w:rPr>
        <w:t>本包组预算金额141.9万元。</w:t>
      </w:r>
    </w:p>
    <w:p>
      <w:pPr>
        <w:pStyle w:val="null3"/>
        <w:jc w:val="left"/>
      </w:pPr>
      <w:r>
        <w:rPr>
          <w:rFonts w:ascii="仿宋_GB2312" w:hAnsi="仿宋_GB2312" w:cs="仿宋_GB2312" w:eastAsia="仿宋_GB2312"/>
          <w:sz w:val="20"/>
          <w:b/>
        </w:rPr>
        <w:t>4.3</w:t>
      </w:r>
      <w:r>
        <w:rPr>
          <w:rFonts w:ascii="仿宋_GB2312" w:hAnsi="仿宋_GB2312" w:cs="仿宋_GB2312" w:eastAsia="仿宋_GB2312"/>
          <w:sz w:val="20"/>
          <w:b/>
        </w:rPr>
        <w:t>付款方式</w:t>
      </w:r>
    </w:p>
    <w:p>
      <w:pPr>
        <w:pStyle w:val="null3"/>
        <w:jc w:val="left"/>
      </w:pPr>
      <w:r>
        <w:rPr>
          <w:rFonts w:ascii="仿宋_GB2312" w:hAnsi="仿宋_GB2312" w:cs="仿宋_GB2312" w:eastAsia="仿宋_GB2312"/>
          <w:sz w:val="20"/>
        </w:rPr>
        <w:t>本项目分2次付款，付款进度及付款条件如下：</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第一次付款：在合同签订并收到等额发票后10个工作日内，支付合同总价的50%；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第二次付款：项目实施阶段完成，验收通过并收到等额发票后10个工作日内，支付合同总价的50%；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国家税务总局广东省税务局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报价不超过采购预算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服务由小微企业提供</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1038"/>
          </w:tcPr>
          <w:p>
            <w:pPr>
              <w:pStyle w:val="null3"/>
              <w:jc w:val="right"/>
            </w:pPr>
            <w:r>
              <w:rPr>
                <w:rFonts w:ascii="仿宋_GB2312" w:hAnsi="仿宋_GB2312" w:cs="仿宋_GB2312" w:eastAsia="仿宋_GB2312"/>
              </w:rPr>
              <w:t>15.0000%</w:t>
            </w:r>
          </w:p>
        </w:tc>
        <w:tc>
          <w:tcPr>
            <w:tcW w:type="dxa" w:w="2076"/>
          </w:tcPr>
          <w:p>
            <w:pPr>
              <w:pStyle w:val="null3"/>
              <w:jc w:val="left"/>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报价×（1-C1）;监狱企业与残疾人福利性单位视同小型、微型企业，享受同等价格扣除，当企业属性重复时，不重复价格扣除</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 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（1）环境搭建</w:t>
            </w:r>
          </w:p>
        </w:tc>
        <w:tc>
          <w:tcPr>
            <w:tcW w:type="dxa" w:w="4614"/>
          </w:tcPr>
          <w:p>
            <w:pPr>
              <w:pStyle w:val="null3"/>
              <w:jc w:val="left"/>
            </w:pPr>
            <w:r>
              <w:rPr>
                <w:rFonts w:ascii="仿宋_GB2312" w:hAnsi="仿宋_GB2312" w:cs="仿宋_GB2312" w:eastAsia="仿宋_GB2312"/>
              </w:rPr>
              <w:t>根据用户需求书“环境搭建”相关要求制定实施方案： 实施方案完全满足且优于采购要求，得8分； 实施方案完全满足采购要求，得6分； 实施方案不能完全满足采购要求，得3分；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（2）数据加工服务</w:t>
            </w:r>
          </w:p>
        </w:tc>
        <w:tc>
          <w:tcPr>
            <w:tcW w:type="dxa" w:w="4614"/>
          </w:tcPr>
          <w:p>
            <w:pPr>
              <w:pStyle w:val="null3"/>
              <w:jc w:val="left"/>
            </w:pPr>
            <w:r>
              <w:rPr>
                <w:rFonts w:ascii="仿宋_GB2312" w:hAnsi="仿宋_GB2312" w:cs="仿宋_GB2312" w:eastAsia="仿宋_GB2312"/>
              </w:rPr>
              <w:t>根据用户需求书“数据分析和处理”相关要求制定实施方案： 实施方案完全满足且优于采购要求，得8分； 实施方案完全满足采购要求，得6分； 实施方案不能完全满足采购要求，得3分；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（3）应用系统初始化</w:t>
            </w:r>
          </w:p>
        </w:tc>
        <w:tc>
          <w:tcPr>
            <w:tcW w:type="dxa" w:w="4614"/>
          </w:tcPr>
          <w:p>
            <w:pPr>
              <w:pStyle w:val="null3"/>
              <w:jc w:val="left"/>
            </w:pPr>
            <w:r>
              <w:rPr>
                <w:rFonts w:ascii="仿宋_GB2312" w:hAnsi="仿宋_GB2312" w:cs="仿宋_GB2312" w:eastAsia="仿宋_GB2312"/>
              </w:rPr>
              <w:t>根据用户需求书“应用系统初始化”相关要求制定实施方案： 实施方案完全满足且优于采购要求，得8分； 实施方案完全满足采购要求，得6分； 实施方案不能完全满足采购要求，得3分；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（4）业务测试、压力测试</w:t>
            </w:r>
          </w:p>
        </w:tc>
        <w:tc>
          <w:tcPr>
            <w:tcW w:type="dxa" w:w="4614"/>
          </w:tcPr>
          <w:p>
            <w:pPr>
              <w:pStyle w:val="null3"/>
              <w:jc w:val="left"/>
            </w:pPr>
            <w:r>
              <w:rPr>
                <w:rFonts w:ascii="仿宋_GB2312" w:hAnsi="仿宋_GB2312" w:cs="仿宋_GB2312" w:eastAsia="仿宋_GB2312"/>
              </w:rPr>
              <w:t>根据用户需求书“业务测试”、“压力测试”相关要求制定实施方案： 实施方案完全满足且优于采购要求，得8分； 实施方案完全满足采购要求，得6分； 实施方案不能完全满足采购要求，得3分；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（5）上线切换、上线培训辅导</w:t>
            </w:r>
          </w:p>
        </w:tc>
        <w:tc>
          <w:tcPr>
            <w:tcW w:type="dxa" w:w="4614"/>
          </w:tcPr>
          <w:p>
            <w:pPr>
              <w:pStyle w:val="null3"/>
              <w:jc w:val="left"/>
            </w:pPr>
            <w:r>
              <w:rPr>
                <w:rFonts w:ascii="仿宋_GB2312" w:hAnsi="仿宋_GB2312" w:cs="仿宋_GB2312" w:eastAsia="仿宋_GB2312"/>
              </w:rPr>
              <w:t>根据用户需求书“上线切换”、“上线培训辅导”相关要求制定实施方案： 实施方案完全满足且优于采购要求，得8分； 实施方案完全满足采购要求，得6分； 实施方案不能完全满足采购要求，得3分； 未提供或其他，0分</w:t>
            </w:r>
          </w:p>
        </w:tc>
        <w:tc>
          <w:tcPr>
            <w:tcW w:type="dxa" w:w="923"/>
          </w:tcPr>
          <w:p>
            <w:pPr>
              <w:pStyle w:val="null3"/>
              <w:jc w:val="right"/>
            </w:pPr>
            <w:r>
              <w:rPr>
                <w:rFonts w:ascii="仿宋_GB2312" w:hAnsi="仿宋_GB2312" w:cs="仿宋_GB2312" w:eastAsia="仿宋_GB2312"/>
              </w:rPr>
              <w:t>8.00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（1）经验能力</w:t>
            </w:r>
          </w:p>
        </w:tc>
        <w:tc>
          <w:tcPr>
            <w:tcW w:type="dxa" w:w="4614"/>
          </w:tcPr>
          <w:p>
            <w:pPr>
              <w:pStyle w:val="null3"/>
              <w:jc w:val="left"/>
            </w:pPr>
            <w:r>
              <w:rPr>
                <w:rFonts w:ascii="仿宋_GB2312" w:hAnsi="仿宋_GB2312" w:cs="仿宋_GB2312" w:eastAsia="仿宋_GB2312"/>
              </w:rPr>
              <w:t>投标人提供2021年1月至今（以合同签订时间为准）的应用系统上线实施服务类案例，每提供一个合同得1分，最高5分。 提供合同复印件并加盖投标人公章。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（2）能力认证</w:t>
            </w:r>
          </w:p>
        </w:tc>
        <w:tc>
          <w:tcPr>
            <w:tcW w:type="dxa" w:w="4614"/>
          </w:tcPr>
          <w:p>
            <w:pPr>
              <w:pStyle w:val="null3"/>
              <w:jc w:val="left"/>
            </w:pPr>
            <w:r>
              <w:rPr>
                <w:rFonts w:ascii="仿宋_GB2312" w:hAnsi="仿宋_GB2312" w:cs="仿宋_GB2312" w:eastAsia="仿宋_GB2312"/>
              </w:rPr>
              <w:t>投标人具有质量管理体系认证证书（认证范围须与信息化相关），得3分； 提供认证证书复印件并须同时提供全国认证认可信息公共服务平台对体系证书的信息查询截图作为评审依据，已失效、暂停或撤销或不提供的不得分。 注：如因投标人成立时间不足三个月，导致无法获得评价的，按对应得分。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（3）项目经理</w:t>
            </w:r>
          </w:p>
        </w:tc>
        <w:tc>
          <w:tcPr>
            <w:tcW w:type="dxa" w:w="4614"/>
          </w:tcPr>
          <w:p>
            <w:pPr>
              <w:pStyle w:val="null3"/>
              <w:jc w:val="left"/>
            </w:pPr>
            <w:r>
              <w:rPr>
                <w:rFonts w:ascii="仿宋_GB2312" w:hAnsi="仿宋_GB2312" w:cs="仿宋_GB2312" w:eastAsia="仿宋_GB2312"/>
              </w:rPr>
              <w:t>1.项目经理（1人）： （1）具备人社部门颁发的信息系统项目管理师、税务师、中级（或以上）会计师之一的，得6分。 （2）具有5年或以上信息化项目管理工作经验的，得4分。 同时提供人员资质证书复印件（工作经验以投标人加盖公章个人工作履历为准）以及2024年1月以来任意一个月投标人缴纳的社保（须至少体现养老保险）证明材料复印件。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（4）技术经理</w:t>
            </w:r>
          </w:p>
        </w:tc>
        <w:tc>
          <w:tcPr>
            <w:tcW w:type="dxa" w:w="4614"/>
          </w:tcPr>
          <w:p>
            <w:pPr>
              <w:pStyle w:val="null3"/>
              <w:jc w:val="left"/>
            </w:pPr>
            <w:r>
              <w:rPr>
                <w:rFonts w:ascii="仿宋_GB2312" w:hAnsi="仿宋_GB2312" w:cs="仿宋_GB2312" w:eastAsia="仿宋_GB2312"/>
              </w:rPr>
              <w:t>技术经理（1人）： （1）具备人社部门颁发的系统分析师、系统架构设计师、数据库系统工程师证书的，具备任意一项得4分，最高8分。 （2）具有5年或以上信息化项目工作经验，得4分； 同时提供人员资质证书复印件（工作经验以投标人加盖公章个人工作履历为准）以及2024年1月以来任意一个月投标人缴纳的社保（须至少体现养老保险）证明材料复印件。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（5）项目团队成员</w:t>
            </w:r>
          </w:p>
        </w:tc>
        <w:tc>
          <w:tcPr>
            <w:tcW w:type="dxa" w:w="4614"/>
          </w:tcPr>
          <w:p>
            <w:pPr>
              <w:pStyle w:val="null3"/>
              <w:jc w:val="left"/>
            </w:pPr>
            <w:r>
              <w:rPr>
                <w:rFonts w:ascii="仿宋_GB2312" w:hAnsi="仿宋_GB2312" w:cs="仿宋_GB2312" w:eastAsia="仿宋_GB2312"/>
              </w:rPr>
              <w:t>1.项目团队人员（项目经理和技术经理除外） （1）每投入一人具有三年或以上信息化项目工作经验，得1分，最高8分。 （2）具有人社部门颁发得数据库系统工程师、软件设计师、网络工程师、系统集成项目管理工程师、信息系统管理工程师的（任意一项），每人得1分；具有系统分析师、信息系统项目管理师、系统架构设计师的，每人得2分，最高8分（同一人具备多个证书的，不重复计分，证书跨段的，按最高分计；可仅提供某一段的资质）。 （1）（2）项相加最高16分。 投标人满足以下条件之一： （1）同时提供资质证书复印件（工作经验以投标人加盖公章个人工作履历为准）以及2024年1月以来任意一个月投标人缴纳的社保（须至少体现养老保险）证明材料复印件。 （2）或提供承诺(可参照投标文件格式“承诺函”) ：承诺在签订合同后 10个工作日内投入满足上述要求的人员(须明确人员证书情况、数量、工作经验、到位时间)。</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（6）驻场人员</w:t>
            </w:r>
          </w:p>
        </w:tc>
        <w:tc>
          <w:tcPr>
            <w:tcW w:type="dxa" w:w="4614"/>
          </w:tcPr>
          <w:p>
            <w:pPr>
              <w:pStyle w:val="null3"/>
              <w:jc w:val="left"/>
            </w:pPr>
            <w:r>
              <w:rPr>
                <w:rFonts w:ascii="仿宋_GB2312" w:hAnsi="仿宋_GB2312" w:cs="仿宋_GB2312" w:eastAsia="仿宋_GB2312"/>
              </w:rPr>
              <w:t>2.承诺驻场人员 投标人从上一项“项目团队人员”中有效计分，且驻场时间不少于4个月的（须参与采购人考勤），每提供1人得1分，最高得4分。 投标时提交承诺，承诺可参照“投标文件格式”中《承诺函》格式。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0"/>
          <w:b/>
        </w:rPr>
        <w:t>国家税务总局广东省税务局</w:t>
      </w:r>
    </w:p>
    <w:p>
      <w:pPr>
        <w:pStyle w:val="null3"/>
        <w:jc w:val="center"/>
      </w:pPr>
      <w:r>
        <w:rPr>
          <w:rFonts w:ascii="仿宋_GB2312" w:hAnsi="仿宋_GB2312" w:cs="仿宋_GB2312" w:eastAsia="仿宋_GB2312"/>
          <w:sz w:val="20"/>
          <w:b/>
        </w:rPr>
        <w:t>政府采购服务类信息化项目</w:t>
      </w:r>
    </w:p>
    <w:p>
      <w:pPr>
        <w:pStyle w:val="null3"/>
        <w:jc w:val="center"/>
      </w:pPr>
      <w:r>
        <w:rPr>
          <w:rFonts w:ascii="仿宋_GB2312" w:hAnsi="仿宋_GB2312" w:cs="仿宋_GB2312" w:eastAsia="仿宋_GB2312"/>
          <w:sz w:val="20"/>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采购编号：</w:t>
            </w:r>
          </w:p>
          <w:p>
            <w:pPr>
              <w:pStyle w:val="null3"/>
              <w:jc w:val="left"/>
            </w:pPr>
          </w:p>
        </w:tc>
      </w:tr>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合同编号：</w:t>
            </w:r>
          </w:p>
          <w:p>
            <w:pPr>
              <w:pStyle w:val="null3"/>
              <w:jc w:val="left"/>
            </w:pPr>
            <w:r>
              <w:rPr>
                <w:rFonts w:ascii="仿宋_GB2312" w:hAnsi="仿宋_GB2312" w:cs="仿宋_GB2312" w:eastAsia="仿宋_GB2312"/>
                <w:sz w:val="20"/>
                <w:b/>
              </w:rPr>
              <w:t xml:space="preserve">项目编号： </w:t>
            </w:r>
            <w:r>
              <w:rPr>
                <w:rFonts w:ascii="仿宋_GB2312" w:hAnsi="仿宋_GB2312" w:cs="仿宋_GB2312" w:eastAsia="仿宋_GB2312"/>
                <w:sz w:val="20"/>
                <w:b/>
                <w:u w:val="single"/>
              </w:rPr>
              <w:t>粤信项</w:t>
            </w:r>
          </w:p>
          <w:p>
            <w:pPr>
              <w:pStyle w:val="null3"/>
              <w:jc w:val="left"/>
            </w:pPr>
          </w:p>
        </w:tc>
      </w:tr>
      <w:tr>
        <w:tc>
          <w:tcPr>
            <w:tcW w:type="dxa" w:w="8306"/>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项目名称：</w:t>
            </w:r>
            <w:r>
              <w:rPr>
                <w:rFonts w:ascii="仿宋_GB2312" w:hAnsi="仿宋_GB2312" w:cs="仿宋_GB2312" w:eastAsia="仿宋_GB2312"/>
                <w:sz w:val="20"/>
                <w:b/>
                <w:u w:val="single"/>
              </w:rPr>
              <w:t xml:space="preserve">  广东税务2024年国家税务总局税务人智慧办公平台上线技术支持服务项目（包组二）        </w:t>
            </w:r>
          </w:p>
          <w:p>
            <w:pPr>
              <w:pStyle w:val="null3"/>
              <w:jc w:val="left"/>
            </w:pPr>
          </w:p>
        </w:tc>
      </w:tr>
      <w:tr>
        <w:tc>
          <w:tcPr>
            <w:tcW w:type="dxa" w:w="8306"/>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0"/>
          <w:b/>
        </w:rPr>
        <w:t>注：本合同仅为合同的参考文本，合同签订双方可根据项目的具体要求进行修订。</w:t>
      </w:r>
    </w:p>
    <w:p>
      <w:pPr>
        <w:pStyle w:val="null3"/>
        <w:jc w:val="left"/>
      </w:pPr>
      <w:r>
        <w:rPr>
          <w:rFonts w:ascii="仿宋_GB2312" w:hAnsi="仿宋_GB2312" w:cs="仿宋_GB2312" w:eastAsia="仿宋_GB2312"/>
          <w:sz w:val="20"/>
          <w:b/>
        </w:rPr>
        <w:t>甲　　方：</w:t>
      </w:r>
      <w:r>
        <w:rPr>
          <w:rFonts w:ascii="仿宋_GB2312" w:hAnsi="仿宋_GB2312" w:cs="仿宋_GB2312" w:eastAsia="仿宋_GB2312"/>
          <w:sz w:val="20"/>
          <w:b/>
          <w:u w:val="single"/>
        </w:rPr>
        <w:t>　　　　　　　　　　</w:t>
      </w:r>
    </w:p>
    <w:p>
      <w:pPr>
        <w:pStyle w:val="null3"/>
        <w:jc w:val="left"/>
      </w:pPr>
      <w:r>
        <w:rPr>
          <w:rFonts w:ascii="仿宋_GB2312" w:hAnsi="仿宋_GB2312" w:cs="仿宋_GB2312" w:eastAsia="仿宋_GB2312"/>
          <w:sz w:val="20"/>
        </w:rPr>
        <w:t>电　　话：</w:t>
      </w:r>
      <w:r>
        <w:rPr>
          <w:rFonts w:ascii="仿宋_GB2312" w:hAnsi="仿宋_GB2312" w:cs="仿宋_GB2312" w:eastAsia="仿宋_GB2312"/>
          <w:sz w:val="20"/>
          <w:b/>
          <w:u w:val="single"/>
        </w:rPr>
        <w:t>　　　　　　</w:t>
      </w:r>
      <w:r>
        <w:rPr>
          <w:rFonts w:ascii="仿宋_GB2312" w:hAnsi="仿宋_GB2312" w:cs="仿宋_GB2312" w:eastAsia="仿宋_GB2312"/>
          <w:sz w:val="20"/>
        </w:rPr>
        <w:t>　　传　　真：</w:t>
      </w:r>
      <w:r>
        <w:rPr>
          <w:rFonts w:ascii="仿宋_GB2312" w:hAnsi="仿宋_GB2312" w:cs="仿宋_GB2312" w:eastAsia="仿宋_GB2312"/>
          <w:sz w:val="20"/>
          <w:b/>
          <w:u w:val="single"/>
        </w:rPr>
        <w:t>　　　　　　</w:t>
      </w:r>
      <w:r>
        <w:rPr>
          <w:rFonts w:ascii="仿宋_GB2312" w:hAnsi="仿宋_GB2312" w:cs="仿宋_GB2312" w:eastAsia="仿宋_GB2312"/>
          <w:sz w:val="20"/>
        </w:rPr>
        <w:t>　　地　　址：</w:t>
      </w:r>
      <w:r>
        <w:rPr>
          <w:rFonts w:ascii="仿宋_GB2312" w:hAnsi="仿宋_GB2312" w:cs="仿宋_GB2312" w:eastAsia="仿宋_GB2312"/>
          <w:sz w:val="20"/>
          <w:b/>
          <w:u w:val="single"/>
        </w:rPr>
        <w:t>　　　　　　　　　　</w:t>
      </w:r>
    </w:p>
    <w:p>
      <w:pPr>
        <w:pStyle w:val="null3"/>
        <w:jc w:val="left"/>
      </w:pPr>
      <w:r>
        <w:rPr>
          <w:rFonts w:ascii="仿宋_GB2312" w:hAnsi="仿宋_GB2312" w:cs="仿宋_GB2312" w:eastAsia="仿宋_GB2312"/>
          <w:sz w:val="20"/>
          <w:b/>
        </w:rPr>
        <w:t>乙　　方：</w:t>
      </w:r>
      <w:r>
        <w:rPr>
          <w:rFonts w:ascii="仿宋_GB2312" w:hAnsi="仿宋_GB2312" w:cs="仿宋_GB2312" w:eastAsia="仿宋_GB2312"/>
          <w:sz w:val="20"/>
          <w:b/>
          <w:u w:val="single"/>
        </w:rPr>
        <w:t>　　　　　　　　　　</w:t>
      </w:r>
    </w:p>
    <w:p>
      <w:pPr>
        <w:pStyle w:val="null3"/>
        <w:jc w:val="left"/>
      </w:pPr>
      <w:r>
        <w:rPr>
          <w:rFonts w:ascii="仿宋_GB2312" w:hAnsi="仿宋_GB2312" w:cs="仿宋_GB2312" w:eastAsia="仿宋_GB2312"/>
          <w:sz w:val="20"/>
        </w:rPr>
        <w:t>电　　话：</w:t>
      </w:r>
      <w:r>
        <w:rPr>
          <w:rFonts w:ascii="仿宋_GB2312" w:hAnsi="仿宋_GB2312" w:cs="仿宋_GB2312" w:eastAsia="仿宋_GB2312"/>
          <w:sz w:val="20"/>
          <w:b/>
          <w:u w:val="single"/>
        </w:rPr>
        <w:t>　　　　　　</w:t>
      </w:r>
      <w:r>
        <w:rPr>
          <w:rFonts w:ascii="仿宋_GB2312" w:hAnsi="仿宋_GB2312" w:cs="仿宋_GB2312" w:eastAsia="仿宋_GB2312"/>
          <w:sz w:val="20"/>
        </w:rPr>
        <w:t>　　传　　真：</w:t>
      </w:r>
      <w:r>
        <w:rPr>
          <w:rFonts w:ascii="仿宋_GB2312" w:hAnsi="仿宋_GB2312" w:cs="仿宋_GB2312" w:eastAsia="仿宋_GB2312"/>
          <w:sz w:val="20"/>
          <w:b/>
          <w:u w:val="single"/>
        </w:rPr>
        <w:t>　　　　　　</w:t>
      </w:r>
      <w:r>
        <w:rPr>
          <w:rFonts w:ascii="仿宋_GB2312" w:hAnsi="仿宋_GB2312" w:cs="仿宋_GB2312" w:eastAsia="仿宋_GB2312"/>
          <w:sz w:val="20"/>
        </w:rPr>
        <w:t>　　地　　址：</w:t>
      </w:r>
      <w:r>
        <w:rPr>
          <w:rFonts w:ascii="仿宋_GB2312" w:hAnsi="仿宋_GB2312" w:cs="仿宋_GB2312" w:eastAsia="仿宋_GB2312"/>
          <w:sz w:val="20"/>
          <w:b/>
          <w:u w:val="single"/>
        </w:rPr>
        <w:t>　　　　　　　　　　</w:t>
      </w:r>
    </w:p>
    <w:p>
      <w:pPr>
        <w:pStyle w:val="null3"/>
        <w:jc w:val="left"/>
      </w:pPr>
      <w:r>
        <w:rPr>
          <w:rFonts w:ascii="仿宋_GB2312" w:hAnsi="仿宋_GB2312" w:cs="仿宋_GB2312" w:eastAsia="仿宋_GB2312"/>
          <w:sz w:val="20"/>
        </w:rPr>
        <w:t xml:space="preserve">根据 </w:t>
      </w:r>
      <w:r>
        <w:rPr>
          <w:rFonts w:ascii="仿宋_GB2312" w:hAnsi="仿宋_GB2312" w:cs="仿宋_GB2312" w:eastAsia="仿宋_GB2312"/>
          <w:sz w:val="20"/>
          <w:b/>
          <w:u w:val="single"/>
        </w:rPr>
        <w:t>广东税务2024年国家税务总局税务人智慧办公平台上线技术支持服务</w:t>
      </w:r>
      <w:r>
        <w:rPr>
          <w:rFonts w:ascii="仿宋_GB2312" w:hAnsi="仿宋_GB2312" w:cs="仿宋_GB2312" w:eastAsia="仿宋_GB2312"/>
          <w:sz w:val="20"/>
          <w:u w:val="single"/>
        </w:rPr>
        <w:t>项目</w:t>
      </w:r>
      <w:r>
        <w:rPr>
          <w:rFonts w:ascii="仿宋_GB2312" w:hAnsi="仿宋_GB2312" w:cs="仿宋_GB2312" w:eastAsia="仿宋_GB2312"/>
          <w:sz w:val="20"/>
          <w:b/>
          <w:u w:val="single"/>
        </w:rPr>
        <w:t>（包组二）</w:t>
      </w:r>
      <w:r>
        <w:rPr>
          <w:rFonts w:ascii="仿宋_GB2312" w:hAnsi="仿宋_GB2312" w:cs="仿宋_GB2312" w:eastAsia="仿宋_GB2312"/>
          <w:sz w:val="20"/>
        </w:rPr>
        <w:t>的采购结果，按照《中华人民共和国政府采购法》《中华人民共和国民法典》的规定，经双方协商，本着平等互利和诚实信用的原则，一致同意签订本合同如下。</w:t>
      </w:r>
    </w:p>
    <w:p>
      <w:pPr>
        <w:pStyle w:val="null3"/>
        <w:numPr>
          <w:ilvl w:val="0"/>
          <w:numId w:val="1"/>
        </w:numPr>
        <w:ind w:left="360"/>
        <w:jc w:val="left"/>
      </w:pPr>
      <w:r>
        <w:rPr>
          <w:rFonts w:ascii="仿宋_GB2312" w:hAnsi="仿宋_GB2312" w:cs="仿宋_GB2312" w:eastAsia="仿宋_GB2312"/>
          <w:sz w:val="20"/>
          <w:b/>
        </w:rPr>
        <w:t>合同金额</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合同金额为（大写）：</w:t>
      </w:r>
      <w:r>
        <w:rPr>
          <w:rFonts w:ascii="仿宋_GB2312" w:hAnsi="仿宋_GB2312" w:cs="仿宋_GB2312" w:eastAsia="仿宋_GB2312"/>
          <w:sz w:val="20"/>
          <w:u w:val="single"/>
        </w:rPr>
        <w:t>人民币</w:t>
      </w:r>
      <w:r>
        <w:rPr>
          <w:rFonts w:ascii="仿宋_GB2312" w:hAnsi="仿宋_GB2312" w:cs="仿宋_GB2312" w:eastAsia="仿宋_GB2312"/>
          <w:sz w:val="20"/>
        </w:rPr>
        <w:t>_________________元（￥_______________元）</w:t>
      </w:r>
    </w:p>
    <w:p>
      <w:pPr>
        <w:pStyle w:val="null3"/>
        <w:numPr>
          <w:ilvl w:val="0"/>
          <w:numId w:val="1"/>
        </w:numPr>
        <w:ind w:left="360"/>
        <w:jc w:val="left"/>
      </w:pPr>
      <w:r>
        <w:rPr>
          <w:rFonts w:ascii="仿宋_GB2312" w:hAnsi="仿宋_GB2312" w:cs="仿宋_GB2312" w:eastAsia="仿宋_GB2312"/>
          <w:sz w:val="20"/>
          <w:b/>
        </w:rPr>
        <w:t>服务范围</w:t>
      </w:r>
    </w:p>
    <w:p>
      <w:pPr>
        <w:pStyle w:val="null3"/>
        <w:jc w:val="left"/>
      </w:pPr>
      <w:r>
        <w:rPr>
          <w:rFonts w:ascii="仿宋_GB2312" w:hAnsi="仿宋_GB2312" w:cs="仿宋_GB2312" w:eastAsia="仿宋_GB2312"/>
          <w:sz w:val="20"/>
        </w:rPr>
        <w:t>　　甲方聘请乙方提供以下服务：</w:t>
      </w:r>
    </w:p>
    <w:p>
      <w:pPr>
        <w:pStyle w:val="null3"/>
        <w:numPr>
          <w:ilvl w:val="0"/>
          <w:numId w:val="2"/>
        </w:numPr>
        <w:jc w:val="left"/>
      </w:pPr>
      <w:r>
        <w:rPr>
          <w:rFonts w:ascii="仿宋_GB2312" w:hAnsi="仿宋_GB2312" w:cs="仿宋_GB2312" w:eastAsia="仿宋_GB2312"/>
          <w:sz w:val="20"/>
        </w:rPr>
        <w:t>本合同项下的服务指项目招标书规定的服务内容，具体见附件 1；</w:t>
      </w:r>
    </w:p>
    <w:p>
      <w:pPr>
        <w:pStyle w:val="null3"/>
        <w:numPr>
          <w:ilvl w:val="0"/>
          <w:numId w:val="2"/>
        </w:numPr>
        <w:jc w:val="left"/>
      </w:pPr>
      <w:r>
        <w:rPr>
          <w:rFonts w:ascii="仿宋_GB2312" w:hAnsi="仿宋_GB2312" w:cs="仿宋_GB2312" w:eastAsia="仿宋_GB2312"/>
          <w:sz w:val="20"/>
        </w:rPr>
        <w:t>本合同所指的服务应符合合同附件的技术规格所述的标准以及广东省税务局发布的需求管理流程、测试管理流程等文件规范，如果没有提及适用标准，则应符合中华人民共和国国家标准或行业标准。这些标准必须是有关机构发布的最新版本的标准。</w:t>
      </w:r>
    </w:p>
    <w:p>
      <w:pPr>
        <w:pStyle w:val="null3"/>
        <w:numPr>
          <w:ilvl w:val="0"/>
          <w:numId w:val="2"/>
        </w:numPr>
        <w:jc w:val="left"/>
      </w:pPr>
      <w:r>
        <w:rPr>
          <w:rFonts w:ascii="仿宋_GB2312" w:hAnsi="仿宋_GB2312" w:cs="仿宋_GB2312" w:eastAsia="仿宋_GB2312"/>
          <w:sz w:val="20"/>
        </w:rPr>
        <w:t>服务地点：包括但不限于广东省广州市花城大道767号、广东佛山市南海区南国桃园南海税务信息处理中心和广州市中山二路 35号之二。</w:t>
      </w:r>
    </w:p>
    <w:p>
      <w:pPr>
        <w:pStyle w:val="null3"/>
        <w:numPr>
          <w:ilvl w:val="0"/>
          <w:numId w:val="1"/>
        </w:numPr>
        <w:jc w:val="left"/>
      </w:pPr>
      <w:r>
        <w:rPr>
          <w:rFonts w:ascii="仿宋_GB2312" w:hAnsi="仿宋_GB2312" w:cs="仿宋_GB2312" w:eastAsia="仿宋_GB2312"/>
          <w:sz w:val="20"/>
          <w:b/>
        </w:rPr>
        <w:t>甲方乙方的权利和义务</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甲方的权利和义务：</w:t>
      </w:r>
    </w:p>
    <w:p>
      <w:pPr>
        <w:pStyle w:val="null3"/>
        <w:jc w:val="left"/>
      </w:pPr>
      <w:r>
        <w:rPr>
          <w:rFonts w:ascii="仿宋_GB2312" w:hAnsi="仿宋_GB2312" w:cs="仿宋_GB2312" w:eastAsia="仿宋_GB2312"/>
          <w:sz w:val="20"/>
        </w:rPr>
        <w:t>（1）甲方为乙方有效完成技术支持服务提供必要的支持，包括提供工作场所、及时下达工作任务，为乙方更好地完成工作任务而协调必要的业务和技术支持；</w:t>
      </w:r>
    </w:p>
    <w:p>
      <w:pPr>
        <w:pStyle w:val="null3"/>
        <w:jc w:val="left"/>
      </w:pPr>
      <w:r>
        <w:rPr>
          <w:rFonts w:ascii="仿宋_GB2312" w:hAnsi="仿宋_GB2312" w:cs="仿宋_GB2312" w:eastAsia="仿宋_GB2312"/>
          <w:sz w:val="20"/>
        </w:rPr>
        <w:t>（2）甲方有权对乙方现场服务人员进行考核，考核方法由甲方确定。如不合格，甲方有权要求乙方整改并撤换不合格的现场服务人员，乙方应及时配合整改。如出现更换后的服务人员仍未达到甲方要求的情况超过两次，甲方有权单方解除本合同，乙方除应在收到解除合同通知之日起10日内返还全部甲方已支付的剩余合同服务期的款项，还应按照合同总价的30%向甲方支付违约金，并赔偿由此给甲方造成的全部经济损失。</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乙方的权利和义务：</w:t>
      </w:r>
    </w:p>
    <w:p>
      <w:pPr>
        <w:pStyle w:val="null3"/>
        <w:jc w:val="left"/>
      </w:pPr>
      <w:r>
        <w:rPr>
          <w:rFonts w:ascii="仿宋_GB2312" w:hAnsi="仿宋_GB2312" w:cs="仿宋_GB2312" w:eastAsia="仿宋_GB2312"/>
          <w:sz w:val="20"/>
        </w:rPr>
        <w:t>（1）驻场人员须具备一定的开发经验和较强的学习能力，熟悉sql语言，具备基于mysql、oracle和java开发能力。</w:t>
      </w:r>
    </w:p>
    <w:p>
      <w:pPr>
        <w:pStyle w:val="null3"/>
        <w:jc w:val="left"/>
      </w:pPr>
      <w:r>
        <w:rPr>
          <w:rFonts w:ascii="仿宋_GB2312" w:hAnsi="仿宋_GB2312" w:cs="仿宋_GB2312" w:eastAsia="仿宋_GB2312"/>
          <w:sz w:val="20"/>
        </w:rPr>
        <w:t>（2）乙方需保证实际驻场人员与投标书、招标文件的要求相符，未经甲方书面同意不得进行调整。服务中途若需更换人员，乙方应当提前一周以书面形式征求甲方意见，且更换人员的学历、资历应当不低于原驻场人员。</w:t>
      </w:r>
    </w:p>
    <w:p>
      <w:pPr>
        <w:pStyle w:val="null3"/>
        <w:jc w:val="left"/>
      </w:pPr>
      <w:r>
        <w:rPr>
          <w:rFonts w:ascii="仿宋_GB2312" w:hAnsi="仿宋_GB2312" w:cs="仿宋_GB2312" w:eastAsia="仿宋_GB2312"/>
          <w:sz w:val="20"/>
        </w:rPr>
        <w:t>（3）未经甲方书面同意，乙方不得安排驻场人员进行非本项目服务的其他工作。乙方应按时足额支付其工作人员的工资、社保、交通费及福利补贴等费用，由此产生的一切争议纠纷与甲方无关；如甲方因此遭受损失的，乙方应当承担相应的赔偿责任。</w:t>
      </w:r>
    </w:p>
    <w:p>
      <w:pPr>
        <w:pStyle w:val="null3"/>
        <w:jc w:val="left"/>
      </w:pPr>
      <w:r>
        <w:rPr>
          <w:rFonts w:ascii="仿宋_GB2312" w:hAnsi="仿宋_GB2312" w:cs="仿宋_GB2312" w:eastAsia="仿宋_GB2312"/>
          <w:sz w:val="20"/>
        </w:rPr>
        <w:t>（4）乙方必须保证工作质量。在服务期间，乙方须按时提交服务工作月报；服务工作结束后，须提交总结报告，由甲方进行评估验收。</w:t>
      </w:r>
    </w:p>
    <w:p>
      <w:pPr>
        <w:pStyle w:val="null3"/>
        <w:jc w:val="left"/>
      </w:pPr>
      <w:r>
        <w:rPr>
          <w:rFonts w:ascii="仿宋_GB2312" w:hAnsi="仿宋_GB2312" w:cs="仿宋_GB2312" w:eastAsia="仿宋_GB2312"/>
          <w:sz w:val="20"/>
        </w:rPr>
        <w:t>（5）乙方为甲方提供服务的人员应当是乙方的正式员工（与乙方签订劳动合同，由乙方购买社保）。</w:t>
      </w:r>
    </w:p>
    <w:p>
      <w:pPr>
        <w:pStyle w:val="null3"/>
        <w:numPr>
          <w:ilvl w:val="0"/>
          <w:numId w:val="1"/>
        </w:numPr>
        <w:ind w:left="360"/>
        <w:jc w:val="left"/>
      </w:pPr>
      <w:r>
        <w:rPr>
          <w:rFonts w:ascii="仿宋_GB2312" w:hAnsi="仿宋_GB2312" w:cs="仿宋_GB2312" w:eastAsia="仿宋_GB2312"/>
          <w:sz w:val="20"/>
          <w:b/>
        </w:rPr>
        <w:t>服务期间（项目完成期限）</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委托服务期间自2024年__月至2025年___月止。</w:t>
      </w:r>
    </w:p>
    <w:p>
      <w:pPr>
        <w:pStyle w:val="null3"/>
        <w:numPr>
          <w:ilvl w:val="0"/>
          <w:numId w:val="1"/>
        </w:numPr>
        <w:ind w:left="360"/>
        <w:jc w:val="left"/>
      </w:pPr>
      <w:r>
        <w:rPr>
          <w:rFonts w:ascii="仿宋_GB2312" w:hAnsi="仿宋_GB2312" w:cs="仿宋_GB2312" w:eastAsia="仿宋_GB2312"/>
          <w:sz w:val="20"/>
          <w:b/>
        </w:rPr>
        <w:t>付款方式</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合同付款分两次进行，付款进度及付款条件如下：</w:t>
      </w:r>
    </w:p>
    <w:p>
      <w:pPr>
        <w:pStyle w:val="null3"/>
        <w:jc w:val="left"/>
      </w:pPr>
      <w:r>
        <w:rPr>
          <w:rFonts w:ascii="仿宋_GB2312" w:hAnsi="仿宋_GB2312" w:cs="仿宋_GB2312" w:eastAsia="仿宋_GB2312"/>
          <w:sz w:val="20"/>
        </w:rPr>
        <w:t>1.  (1)</w:t>
      </w:r>
      <w:r>
        <w:rPr>
          <w:rFonts w:ascii="仿宋_GB2312" w:hAnsi="仿宋_GB2312" w:cs="仿宋_GB2312" w:eastAsia="仿宋_GB2312"/>
          <w:sz w:val="20"/>
        </w:rPr>
        <w:t>第一次付款：在合同签订并收到等额发票后10个工作日内，支付合同总价的50%；(2)第二次付款：项目实施阶段完成，验收通过并收到等额发票后10个工作日内，支付合同总价的50%。</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每笔款项支付时，乙方应同时向甲方提供等额、合法、有效发票（含货物款发票、货物安装费发票及有关服务发票），否则甲方付款时间相应顺延。</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本合同的付款时间为甲方向政府采购支付部门提出支付申请的时间（不含政府财政支付部门审查的时间），如因政府财政支付管理流程导致的支付延期，甲方不承担逾期付款责任，也不作为乙方迟延履行或不履行合同义务的理由。</w:t>
      </w:r>
    </w:p>
    <w:p>
      <w:pPr>
        <w:pStyle w:val="null3"/>
        <w:numPr>
          <w:ilvl w:val="0"/>
          <w:numId w:val="1"/>
        </w:numPr>
        <w:ind w:left="360"/>
        <w:jc w:val="left"/>
      </w:pPr>
      <w:r>
        <w:rPr>
          <w:rFonts w:ascii="仿宋_GB2312" w:hAnsi="仿宋_GB2312" w:cs="仿宋_GB2312" w:eastAsia="仿宋_GB2312"/>
          <w:sz w:val="20"/>
          <w:b/>
        </w:rPr>
        <w:t>知识产权归属</w:t>
      </w:r>
    </w:p>
    <w:p>
      <w:pPr>
        <w:pStyle w:val="null3"/>
        <w:numPr>
          <w:ilvl w:val="0"/>
          <w:numId w:val="2"/>
        </w:numPr>
        <w:ind w:left="120"/>
        <w:jc w:val="left"/>
      </w:pPr>
      <w:r>
        <w:rPr>
          <w:rFonts w:ascii="仿宋_GB2312" w:hAnsi="仿宋_GB2312" w:cs="仿宋_GB2312" w:eastAsia="仿宋_GB2312"/>
          <w:sz w:val="20"/>
        </w:rPr>
        <w:t>乙方应保证，甲方在中华人民共和国使用该软件产品（或货物、或系统）或其中任何一部分时，如受第三方提出的侵犯其专利权、商标权或其他知识产权的起诉，由乙方承担一切责任。甲方因第三方主张权利造成的损失，无论发生在合同期内、合同期满或解除后，甲方均有权向乙方追偿。</w:t>
      </w:r>
    </w:p>
    <w:p>
      <w:pPr>
        <w:pStyle w:val="null3"/>
        <w:numPr>
          <w:ilvl w:val="0"/>
          <w:numId w:val="2"/>
        </w:numPr>
        <w:ind w:left="120"/>
        <w:jc w:val="left"/>
      </w:pPr>
      <w:r>
        <w:rPr>
          <w:rFonts w:ascii="仿宋_GB2312" w:hAnsi="仿宋_GB2312" w:cs="仿宋_GB2312" w:eastAsia="仿宋_GB2312"/>
          <w:sz w:val="20"/>
        </w:rPr>
        <w:t>乙方在执行合同中向甲方提供开发服务所产生的所有技术资料、文档和软件系统（包括源代码和可运行系统）的所有权和软件著作权归甲方所有。</w:t>
      </w:r>
    </w:p>
    <w:p>
      <w:pPr>
        <w:pStyle w:val="null3"/>
        <w:numPr>
          <w:ilvl w:val="0"/>
          <w:numId w:val="2"/>
        </w:numPr>
        <w:ind w:left="120"/>
        <w:jc w:val="left"/>
      </w:pPr>
      <w:r>
        <w:rPr>
          <w:rFonts w:ascii="仿宋_GB2312" w:hAnsi="仿宋_GB2312" w:cs="仿宋_GB2312" w:eastAsia="仿宋_GB2312"/>
          <w:sz w:val="20"/>
        </w:rPr>
        <w:t>乙方为执行本合同而提供的第三方技术资料、软件、工具及乙方已有知识产权产品的使用权归甲方所有。</w:t>
      </w:r>
    </w:p>
    <w:p>
      <w:pPr>
        <w:pStyle w:val="null3"/>
        <w:numPr>
          <w:ilvl w:val="0"/>
          <w:numId w:val="2"/>
        </w:numPr>
        <w:ind w:left="120"/>
        <w:jc w:val="left"/>
      </w:pPr>
      <w:r>
        <w:rPr>
          <w:rFonts w:ascii="仿宋_GB2312" w:hAnsi="仿宋_GB2312" w:cs="仿宋_GB2312" w:eastAsia="仿宋_GB2312"/>
          <w:sz w:val="20"/>
        </w:rPr>
        <w:t>乙方在执行本合同的内容或者主要是利用甲方的物质技术条件所完成的职务发明，甲方享有知识产权，乙方不得未经甲方明确授权的前提下利用这些成果进行生产、经营，亦不得自行向第三方转让。</w:t>
      </w:r>
    </w:p>
    <w:p>
      <w:pPr>
        <w:pStyle w:val="null3"/>
        <w:numPr>
          <w:ilvl w:val="0"/>
          <w:numId w:val="1"/>
        </w:numPr>
        <w:ind w:left="360"/>
        <w:jc w:val="left"/>
      </w:pPr>
      <w:r>
        <w:rPr>
          <w:rFonts w:ascii="仿宋_GB2312" w:hAnsi="仿宋_GB2312" w:cs="仿宋_GB2312" w:eastAsia="仿宋_GB2312"/>
          <w:sz w:val="20"/>
          <w:b/>
        </w:rPr>
        <w:t>保密</w:t>
      </w:r>
    </w:p>
    <w:p>
      <w:pPr>
        <w:pStyle w:val="null3"/>
        <w:numPr>
          <w:ilvl w:val="0"/>
          <w:numId w:val="2"/>
        </w:numPr>
        <w:ind w:left="120"/>
        <w:jc w:val="left"/>
      </w:pPr>
      <w:r>
        <w:rPr>
          <w:rFonts w:ascii="仿宋_GB2312" w:hAnsi="仿宋_GB2312" w:cs="仿宋_GB2312" w:eastAsia="仿宋_GB2312"/>
          <w:sz w:val="20"/>
        </w:rPr>
        <w:t>1</w:t>
      </w:r>
      <w:r>
        <w:rPr>
          <w:rFonts w:ascii="仿宋_GB2312" w:hAnsi="仿宋_GB2312" w:cs="仿宋_GB2312" w:eastAsia="仿宋_GB2312"/>
          <w:sz w:val="20"/>
        </w:rPr>
        <w:t>．甲乙双方的保密协议（附件2）将于合同签署时生效，有效期为本协议签订之日起至本协议终止之日后满五年。乙方驻场人员须遵循甲方的各项规章制度，工作时间不得从事任何与工作无关的事情。未经甲方事先书面同意，乙方及其工作人员不得将由甲方为本合同提供的条文、规格、计划、样品或资料提供给与本合同无关的任何第三方，不得将其用于履行本合同之外的其它用途。即使向与履行本合同有关的人员提供，也应注意保密并限于履行合同所必需的范围。甲方不得将由乙方向甲方提供的产品技术方案、技术指标、计算机软件、数据库、研究开发记录、技术报告、检测报告、实验数据、试验结果、操作手册、技术文档等技术资料，以及甲方所知悉的乙方经营策略、客户名单、采购资料、定价政策、财务资料、进货渠道等商业信息提供给与本合同无关的任何单位或个人。</w:t>
      </w:r>
    </w:p>
    <w:p>
      <w:pPr>
        <w:pStyle w:val="null3"/>
        <w:numPr>
          <w:ilvl w:val="0"/>
          <w:numId w:val="2"/>
        </w:numPr>
        <w:ind w:left="120"/>
        <w:jc w:val="left"/>
      </w:pPr>
      <w:r>
        <w:rPr>
          <w:rFonts w:ascii="仿宋_GB2312" w:hAnsi="仿宋_GB2312" w:cs="仿宋_GB2312" w:eastAsia="仿宋_GB2312"/>
          <w:sz w:val="20"/>
        </w:rPr>
        <w:t>除了合同本身之外，上款所列举的任何物件均是甲方的财产。如果甲方有求，乙方在完成合同后应将这些物件及全部复制件还给甲方。</w:t>
      </w:r>
    </w:p>
    <w:p>
      <w:pPr>
        <w:pStyle w:val="null3"/>
        <w:numPr>
          <w:ilvl w:val="0"/>
          <w:numId w:val="2"/>
        </w:numPr>
        <w:ind w:left="120"/>
        <w:jc w:val="left"/>
      </w:pPr>
      <w:r>
        <w:rPr>
          <w:rFonts w:ascii="仿宋_GB2312" w:hAnsi="仿宋_GB2312" w:cs="仿宋_GB2312" w:eastAsia="仿宋_GB2312"/>
          <w:sz w:val="20"/>
        </w:rPr>
        <w:t>技术支持过程中（含系统开发过程）至乙方正式向甲方付文档资料时止，乙方必须采取措施对本项目过程中的数据、源代码、技术文档等资料保密，否则，由于乙方过错导致的上述资料泄密的，乙方必须承担相应法律责任。</w:t>
      </w:r>
    </w:p>
    <w:p>
      <w:pPr>
        <w:pStyle w:val="null3"/>
        <w:numPr>
          <w:ilvl w:val="0"/>
          <w:numId w:val="2"/>
        </w:numPr>
        <w:ind w:left="120"/>
        <w:jc w:val="left"/>
      </w:pPr>
      <w:r>
        <w:rPr>
          <w:rFonts w:ascii="仿宋_GB2312" w:hAnsi="仿宋_GB2312" w:cs="仿宋_GB2312" w:eastAsia="仿宋_GB2312"/>
          <w:sz w:val="20"/>
        </w:rPr>
        <w:t>项目中所涉及的双方的内部资料、数据、业务流程、工作规范和开发过程中产生的文档记录以及其它商业信息，甲、乙双方均有责任承担保密义务。未经对方许可，任何一方不得以任何形式向其他方泄露。</w:t>
      </w:r>
    </w:p>
    <w:p>
      <w:pPr>
        <w:pStyle w:val="null3"/>
        <w:numPr>
          <w:ilvl w:val="0"/>
          <w:numId w:val="2"/>
        </w:numPr>
        <w:ind w:left="120"/>
        <w:jc w:val="left"/>
      </w:pPr>
      <w:r>
        <w:rPr>
          <w:rFonts w:ascii="仿宋_GB2312" w:hAnsi="仿宋_GB2312" w:cs="仿宋_GB2312" w:eastAsia="仿宋_GB2312"/>
          <w:sz w:val="20"/>
        </w:rPr>
        <w:t>乙方保证乙方及其工作人员对在服务过程中所了解、知悉的甲方或相关单位的政府信息不得对外泄露，否则应付全部法律责任。</w:t>
      </w:r>
    </w:p>
    <w:p>
      <w:pPr>
        <w:pStyle w:val="null3"/>
        <w:numPr>
          <w:ilvl w:val="0"/>
          <w:numId w:val="1"/>
        </w:numPr>
        <w:ind w:left="360"/>
        <w:jc w:val="left"/>
      </w:pPr>
      <w:r>
        <w:rPr>
          <w:rFonts w:ascii="仿宋_GB2312" w:hAnsi="仿宋_GB2312" w:cs="仿宋_GB2312" w:eastAsia="仿宋_GB2312"/>
          <w:sz w:val="20"/>
          <w:b/>
        </w:rPr>
        <w:t>违约责任与赔偿损失</w:t>
      </w:r>
    </w:p>
    <w:p>
      <w:pPr>
        <w:pStyle w:val="null3"/>
        <w:numPr>
          <w:ilvl w:val="0"/>
          <w:numId w:val="2"/>
        </w:numPr>
        <w:jc w:val="left"/>
      </w:pPr>
      <w:r>
        <w:rPr>
          <w:rFonts w:ascii="仿宋_GB2312" w:hAnsi="仿宋_GB2312" w:cs="仿宋_GB2312" w:eastAsia="仿宋_GB2312"/>
          <w:sz w:val="20"/>
        </w:rPr>
        <w:t>乙方提供的服务不符合采购文件、本合同要求的，甲方有权拒收并要求乙方进行整改，并且甲方有权要求乙方支付本合同总价5%的违约金；乙方5日内未完成整改或者整改后仍不符合要求的，甲方有权解除合同并要求乙方支付合同总价30%的违约金；因此造成甲方损失的，乙方应承担全部的赔偿责任。。</w:t>
      </w:r>
    </w:p>
    <w:p>
      <w:pPr>
        <w:pStyle w:val="null3"/>
        <w:numPr>
          <w:ilvl w:val="0"/>
          <w:numId w:val="2"/>
        </w:numPr>
        <w:jc w:val="left"/>
      </w:pPr>
      <w:r>
        <w:rPr>
          <w:rFonts w:ascii="仿宋_GB2312" w:hAnsi="仿宋_GB2312" w:cs="仿宋_GB2312" w:eastAsia="仿宋_GB2312"/>
          <w:sz w:val="20"/>
        </w:rPr>
        <w:t>乙方未能按本合同约定的时间提供服务，从逾期之日起每日按本合同总价5‰的数额向甲方支付违约金；逾期15天及以上的，甲方有权解除合同，双方按已提供服务的期限及内容结算服务费后，乙方向甲方支付本合同总额30%的违约金；由此造成的甲方经济损失由乙方承担，包括但不限于甲方委托第三方处理产生的费用等。</w:t>
      </w:r>
    </w:p>
    <w:p>
      <w:pPr>
        <w:pStyle w:val="null3"/>
        <w:numPr>
          <w:ilvl w:val="0"/>
          <w:numId w:val="2"/>
        </w:numPr>
        <w:jc w:val="left"/>
      </w:pPr>
      <w:r>
        <w:rPr>
          <w:rFonts w:ascii="仿宋_GB2312" w:hAnsi="仿宋_GB2312" w:cs="仿宋_GB2312" w:eastAsia="仿宋_GB2312"/>
          <w:sz w:val="20"/>
        </w:rPr>
        <w:t>乙方未按照采购文件、本合同约定的要求提供服务，引发金税三期核心征管系统、外部交换系统、税库银系统、社保费标准版、增值税发票管理系统（含税控和底账）、电子税务局等全省业务系统以及税务数字证书系统（省税务局端）、密码服务组件系统、双向安全交换系统等基础系统出现故障（不可抗力因素除外），导致全省范围内业务中断，持续时间超过4小时，乙方须按照合同总价款的10%向甲方支付违约金；因此造成甲方造成损失的，乙方需承担赔偿责任。若故障未能在24小时内解决，或者类似事故一个月内发生2次以上，甲方有权解除本合同，并且不予支付合同尾款。</w:t>
      </w:r>
    </w:p>
    <w:p>
      <w:pPr>
        <w:pStyle w:val="null3"/>
        <w:numPr>
          <w:ilvl w:val="0"/>
          <w:numId w:val="2"/>
        </w:numPr>
        <w:jc w:val="left"/>
      </w:pPr>
      <w:r>
        <w:rPr>
          <w:rFonts w:ascii="仿宋_GB2312" w:hAnsi="仿宋_GB2312" w:cs="仿宋_GB2312" w:eastAsia="仿宋_GB2312"/>
          <w:sz w:val="20"/>
        </w:rPr>
        <w:t>甲方逾期付款，每日按应付未付款的万分之一向乙方偿付违约金，违约金总额累计不超过合同总金额的5%。</w:t>
      </w:r>
    </w:p>
    <w:p>
      <w:pPr>
        <w:pStyle w:val="null3"/>
        <w:numPr>
          <w:ilvl w:val="0"/>
          <w:numId w:val="2"/>
        </w:numPr>
        <w:jc w:val="left"/>
      </w:pPr>
      <w:r>
        <w:rPr>
          <w:rFonts w:ascii="仿宋_GB2312" w:hAnsi="仿宋_GB2312" w:cs="仿宋_GB2312" w:eastAsia="仿宋_GB2312"/>
          <w:sz w:val="20"/>
        </w:rPr>
        <w:t>乙方不得另行开发本合同业务需求范围内、供纳税人(或缴费人)使用的软件,如有</w:t>
      </w:r>
    </w:p>
    <w:p>
      <w:pPr>
        <w:pStyle w:val="null3"/>
        <w:jc w:val="left"/>
      </w:pPr>
      <w:r>
        <w:rPr>
          <w:rFonts w:ascii="仿宋_GB2312" w:hAnsi="仿宋_GB2312" w:cs="仿宋_GB2312" w:eastAsia="仿宋_GB2312"/>
          <w:sz w:val="20"/>
        </w:rPr>
        <w:t>违反，甲方有权将乙方纳入税务系统信息化服务商失信名单</w:t>
      </w:r>
    </w:p>
    <w:p>
      <w:pPr>
        <w:pStyle w:val="null3"/>
        <w:numPr>
          <w:ilvl w:val="0"/>
          <w:numId w:val="2"/>
        </w:numPr>
        <w:jc w:val="left"/>
      </w:pPr>
      <w:r>
        <w:rPr>
          <w:rFonts w:ascii="仿宋_GB2312" w:hAnsi="仿宋_GB2312" w:cs="仿宋_GB2312" w:eastAsia="仿宋_GB2312"/>
          <w:sz w:val="20"/>
        </w:rPr>
        <w:t>乙方在本项目实施过程中出现违反网络安全规定行为，造成数据失窃或丢失、敏感信息泄露、主要业务系统瘫痪等不良后果的，自甲方或甲方主管机关做出认定之日起三年内，甲方及税务系统各单位可以拒绝乙方参与税务系统政府采购活动。</w:t>
      </w:r>
    </w:p>
    <w:p>
      <w:pPr>
        <w:pStyle w:val="null3"/>
        <w:numPr>
          <w:ilvl w:val="0"/>
          <w:numId w:val="2"/>
        </w:numPr>
        <w:jc w:val="left"/>
      </w:pPr>
      <w:r>
        <w:rPr>
          <w:rFonts w:ascii="仿宋_GB2312" w:hAnsi="仿宋_GB2312" w:cs="仿宋_GB2312" w:eastAsia="仿宋_GB2312"/>
          <w:sz w:val="20"/>
        </w:rPr>
        <w:t>乙方不得违法违规聘用离职的税务机关人员。乙方违法违规聘用离职税务机关人员的，甲方有权视情况采取以下一项或多项措施：</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①甲方要求乙方限期改正；</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②乙方按合同总价10%的数额向甲方支付违约金；</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③乙方3年内不得参加所聘人员原单位及下属单位的信息化项目政府采购活动；</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④甲方有权解除部分或全部合同；</w:t>
      </w:r>
    </w:p>
    <w:p>
      <w:pPr>
        <w:pStyle w:val="null3"/>
        <w:numPr>
          <w:ilvl w:val="0"/>
          <w:numId w:val="2"/>
        </w:numPr>
        <w:jc w:val="left"/>
      </w:pPr>
      <w:r>
        <w:rPr>
          <w:rFonts w:ascii="仿宋_GB2312" w:hAnsi="仿宋_GB2312" w:cs="仿宋_GB2312" w:eastAsia="仿宋_GB2312"/>
          <w:sz w:val="20"/>
        </w:rPr>
        <w:t>乙方需保证所提供服务的正常运作，如因乙方原因出现纳税人投诉或相关部门反馈监督意见等情形的，每出现一次乙方需支付本合同总额1%违约金，并赔偿甲方遭受的损失。</w:t>
      </w:r>
    </w:p>
    <w:p>
      <w:pPr>
        <w:pStyle w:val="null3"/>
        <w:numPr>
          <w:ilvl w:val="0"/>
          <w:numId w:val="2"/>
        </w:numPr>
        <w:jc w:val="left"/>
      </w:pPr>
      <w:r>
        <w:rPr>
          <w:rFonts w:ascii="仿宋_GB2312" w:hAnsi="仿宋_GB2312" w:cs="仿宋_GB2312" w:eastAsia="仿宋_GB2312"/>
          <w:sz w:val="20"/>
        </w:rPr>
        <w:t>如乙方存在违背保密协议或廉政协议约定义务的行为，甲方有权解除合同，乙方须一次性支付本合同总额30%的违约金，由此造成的甲方经济损失由乙方承担。</w:t>
      </w:r>
    </w:p>
    <w:p>
      <w:pPr>
        <w:pStyle w:val="null3"/>
        <w:numPr>
          <w:ilvl w:val="0"/>
          <w:numId w:val="2"/>
        </w:numPr>
        <w:jc w:val="left"/>
      </w:pPr>
      <w:r>
        <w:rPr>
          <w:rFonts w:ascii="仿宋_GB2312" w:hAnsi="仿宋_GB2312" w:cs="仿宋_GB2312" w:eastAsia="仿宋_GB2312"/>
          <w:sz w:val="20"/>
        </w:rPr>
        <w:t>乙方因违反本合同约定所需承担的违约金、赔偿金等，甲方有权直接于应付款中予以扣除，如不足以抵扣的乙方须赔偿补足。</w:t>
      </w:r>
    </w:p>
    <w:p>
      <w:pPr>
        <w:pStyle w:val="null3"/>
        <w:numPr>
          <w:ilvl w:val="0"/>
          <w:numId w:val="2"/>
        </w:numPr>
        <w:jc w:val="left"/>
      </w:pPr>
      <w:r>
        <w:rPr>
          <w:rFonts w:ascii="仿宋_GB2312" w:hAnsi="仿宋_GB2312" w:cs="仿宋_GB2312" w:eastAsia="仿宋_GB2312"/>
          <w:sz w:val="20"/>
        </w:rPr>
        <w:t>本合同履行过程中一方违约的，违约方应赔偿守约方的损失，包括但不限于律师费、诉讼/仲裁费、公证费、差旅费、保全费、担保保函费等费用。</w:t>
      </w:r>
    </w:p>
    <w:p>
      <w:pPr>
        <w:pStyle w:val="null3"/>
        <w:numPr>
          <w:ilvl w:val="0"/>
          <w:numId w:val="2"/>
        </w:numPr>
        <w:jc w:val="left"/>
      </w:pPr>
      <w:r>
        <w:rPr>
          <w:rFonts w:ascii="仿宋_GB2312" w:hAnsi="仿宋_GB2312" w:cs="仿宋_GB2312" w:eastAsia="仿宋_GB2312"/>
          <w:sz w:val="20"/>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numPr>
          <w:ilvl w:val="0"/>
          <w:numId w:val="2"/>
        </w:numPr>
        <w:jc w:val="left"/>
      </w:pPr>
      <w:r>
        <w:rPr>
          <w:rFonts w:ascii="仿宋_GB2312" w:hAnsi="仿宋_GB2312" w:cs="仿宋_GB2312" w:eastAsia="仿宋_GB2312"/>
          <w:sz w:val="20"/>
        </w:rPr>
        <w:t>采购方可以对《税务系统信息化服务商失信行为记录名单制度(试行)》制度列举的失信行为进行认定，经其认定存在失信行为的服务商，3年内限制参加税收信息化项目政府采购活动。</w:t>
      </w:r>
    </w:p>
    <w:p>
      <w:pPr>
        <w:pStyle w:val="null3"/>
        <w:numPr>
          <w:ilvl w:val="0"/>
          <w:numId w:val="2"/>
        </w:numPr>
        <w:jc w:val="left"/>
      </w:pPr>
      <w:r>
        <w:rPr>
          <w:rFonts w:ascii="仿宋_GB2312" w:hAnsi="仿宋_GB2312" w:cs="仿宋_GB2312" w:eastAsia="仿宋_GB2312"/>
          <w:sz w:val="20"/>
        </w:rPr>
        <w:t>其它违约责任按《中华人民共和国民法典》处理。</w:t>
      </w:r>
    </w:p>
    <w:p>
      <w:pPr>
        <w:pStyle w:val="null3"/>
        <w:numPr>
          <w:ilvl w:val="0"/>
          <w:numId w:val="1"/>
        </w:numPr>
        <w:ind w:left="360"/>
        <w:jc w:val="left"/>
      </w:pPr>
      <w:r>
        <w:rPr>
          <w:rFonts w:ascii="仿宋_GB2312" w:hAnsi="仿宋_GB2312" w:cs="仿宋_GB2312" w:eastAsia="仿宋_GB2312"/>
          <w:sz w:val="20"/>
          <w:b/>
        </w:rPr>
        <w:t>争议的解决</w:t>
      </w:r>
    </w:p>
    <w:p>
      <w:pPr>
        <w:pStyle w:val="null3"/>
        <w:numPr>
          <w:ilvl w:val="0"/>
          <w:numId w:val="2"/>
        </w:numPr>
        <w:jc w:val="left"/>
      </w:pPr>
      <w:r>
        <w:rPr>
          <w:rFonts w:ascii="仿宋_GB2312" w:hAnsi="仿宋_GB2312" w:cs="仿宋_GB2312" w:eastAsia="仿宋_GB2312"/>
          <w:sz w:val="20"/>
        </w:rPr>
        <w:t>合同执行过程中发生的任何争议，如双方不能通过友好协商解决，任一方有权向甲方所在地有管辖权的人民法院提起诉讼，按相关法律法规处理。</w:t>
      </w:r>
    </w:p>
    <w:p>
      <w:pPr>
        <w:pStyle w:val="null3"/>
        <w:numPr>
          <w:ilvl w:val="0"/>
          <w:numId w:val="1"/>
        </w:numPr>
        <w:ind w:left="360"/>
        <w:jc w:val="left"/>
      </w:pPr>
      <w:r>
        <w:rPr>
          <w:rFonts w:ascii="仿宋_GB2312" w:hAnsi="仿宋_GB2312" w:cs="仿宋_GB2312" w:eastAsia="仿宋_GB2312"/>
          <w:sz w:val="20"/>
          <w:b/>
        </w:rPr>
        <w:t>不可抗力</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任何一方由于不可抗力原因不能履行合同时，应在不可抗力事件结束后1日内向对方通报，以减轻可能给对方造成的损失，在取得有关机构的不可抗力证明或对方谅解确认后，允许延期履行或经对方同意后修订合同，并根据情况可免于承担部分或全部的违约责任。</w:t>
      </w:r>
    </w:p>
    <w:p>
      <w:pPr>
        <w:pStyle w:val="null3"/>
        <w:numPr>
          <w:ilvl w:val="0"/>
          <w:numId w:val="1"/>
        </w:numPr>
        <w:ind w:left="360"/>
        <w:jc w:val="left"/>
      </w:pPr>
      <w:r>
        <w:rPr>
          <w:rFonts w:ascii="仿宋_GB2312" w:hAnsi="仿宋_GB2312" w:cs="仿宋_GB2312" w:eastAsia="仿宋_GB2312"/>
          <w:sz w:val="20"/>
          <w:b/>
        </w:rPr>
        <w:t>税费</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与本合同相关的税费，依中国的税法规定由相应的承担方承担，本合同总价为含税价。</w:t>
      </w:r>
    </w:p>
    <w:p>
      <w:pPr>
        <w:pStyle w:val="null3"/>
        <w:numPr>
          <w:ilvl w:val="0"/>
          <w:numId w:val="1"/>
        </w:numPr>
        <w:ind w:left="360"/>
        <w:jc w:val="left"/>
      </w:pPr>
      <w:r>
        <w:rPr>
          <w:rFonts w:ascii="仿宋_GB2312" w:hAnsi="仿宋_GB2312" w:cs="仿宋_GB2312" w:eastAsia="仿宋_GB2312"/>
          <w:sz w:val="20"/>
          <w:b/>
        </w:rPr>
        <w:t>其它</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本合同所有附件、招标文件、投标文件、中标通知书均为合同的有效组成部分，与本合同具有同等法律效力。</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在执行本合同的过程中，所有经双方签署确认的文件（包括会议纪要、补充协议、往来信函）即成为本合同的有效组成部分。</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如一方地址、电话、传真号码有变更，应在变更当日内书面通知对方，否则，应承担相应责任。</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除甲方事先书面同意外，乙方不得部分或全部转让其应履行的合同项下的义务。如乙方擅自部分或全部转让其应履行的合同项下的义务的，甲方有权根据国家税务总局相关规定将乙方列入信息化服务商失信行为记录名单。</w:t>
      </w:r>
    </w:p>
    <w:p>
      <w:pPr>
        <w:pStyle w:val="null3"/>
        <w:numPr>
          <w:ilvl w:val="0"/>
          <w:numId w:val="1"/>
        </w:numPr>
        <w:ind w:left="360"/>
        <w:jc w:val="left"/>
      </w:pPr>
      <w:r>
        <w:rPr>
          <w:rFonts w:ascii="仿宋_GB2312" w:hAnsi="仿宋_GB2312" w:cs="仿宋_GB2312" w:eastAsia="仿宋_GB2312"/>
          <w:sz w:val="20"/>
          <w:b/>
        </w:rPr>
        <w:t>合同生效：</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本合同在甲乙双方法人代表或其授权代表签字盖章后生效。</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合同一式份，甲方持</w:t>
      </w:r>
      <w:r>
        <w:rPr>
          <w:rFonts w:ascii="仿宋_GB2312" w:hAnsi="仿宋_GB2312" w:cs="仿宋_GB2312" w:eastAsia="仿宋_GB2312"/>
          <w:sz w:val="20"/>
          <w:u w:val="single"/>
        </w:rPr>
        <w:t xml:space="preserve"> 肆 </w:t>
      </w:r>
      <w:r>
        <w:rPr>
          <w:rFonts w:ascii="仿宋_GB2312" w:hAnsi="仿宋_GB2312" w:cs="仿宋_GB2312" w:eastAsia="仿宋_GB2312"/>
          <w:sz w:val="20"/>
        </w:rPr>
        <w:t>份，乙方持份，具有同等法律效力。</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附件：</w:t>
      </w:r>
    </w:p>
    <w:p>
      <w:pPr>
        <w:pStyle w:val="null3"/>
        <w:jc w:val="left"/>
      </w:pPr>
      <w:r>
        <w:rPr>
          <w:rFonts w:ascii="仿宋_GB2312" w:hAnsi="仿宋_GB2312" w:cs="仿宋_GB2312" w:eastAsia="仿宋_GB2312"/>
          <w:sz w:val="20"/>
        </w:rPr>
        <w:t>附件1：项目需求书（简化版）</w:t>
      </w:r>
    </w:p>
    <w:p>
      <w:pPr>
        <w:pStyle w:val="null3"/>
        <w:jc w:val="left"/>
      </w:pPr>
      <w:r>
        <w:rPr>
          <w:rFonts w:ascii="仿宋_GB2312" w:hAnsi="仿宋_GB2312" w:cs="仿宋_GB2312" w:eastAsia="仿宋_GB2312"/>
          <w:sz w:val="20"/>
        </w:rPr>
        <w:t>附件2：保密协议书</w:t>
      </w:r>
    </w:p>
    <w:p>
      <w:pPr>
        <w:pStyle w:val="null3"/>
        <w:jc w:val="left"/>
      </w:pPr>
      <w:r>
        <w:rPr>
          <w:rFonts w:ascii="仿宋_GB2312" w:hAnsi="仿宋_GB2312" w:cs="仿宋_GB2312" w:eastAsia="仿宋_GB2312"/>
          <w:sz w:val="20"/>
        </w:rPr>
        <w:t>附件3：廉政协议书</w:t>
      </w:r>
    </w:p>
    <w:p>
      <w:pPr>
        <w:pStyle w:val="null3"/>
        <w:jc w:val="left"/>
      </w:pPr>
      <w:r>
        <w:rPr>
          <w:rFonts w:ascii="仿宋_GB2312" w:hAnsi="仿宋_GB2312" w:cs="仿宋_GB2312" w:eastAsia="仿宋_GB2312"/>
          <w:sz w:val="20"/>
        </w:rPr>
        <w:t>附件4：网络和数据安全责任协议书</w:t>
      </w:r>
    </w:p>
    <w:p>
      <w:pPr>
        <w:pStyle w:val="null3"/>
        <w:jc w:val="left"/>
      </w:pPr>
      <w:r>
        <w:rPr>
          <w:rFonts w:ascii="仿宋_GB2312" w:hAnsi="仿宋_GB2312" w:cs="仿宋_GB2312" w:eastAsia="仿宋_GB2312"/>
          <w:sz w:val="20"/>
        </w:rPr>
        <w:t>附件5：采购评审结果通知</w:t>
      </w:r>
    </w:p>
    <w:p>
      <w:pPr>
        <w:pStyle w:val="null3"/>
        <w:jc w:val="left"/>
      </w:pPr>
      <w:r>
        <w:rPr>
          <w:rFonts w:ascii="仿宋_GB2312" w:hAnsi="仿宋_GB2312" w:cs="仿宋_GB2312" w:eastAsia="仿宋_GB2312"/>
          <w:sz w:val="20"/>
        </w:rPr>
        <w:t>附件6：乙方项目组核心成员列表</w:t>
      </w:r>
    </w:p>
    <w:p>
      <w:pPr>
        <w:pStyle w:val="null3"/>
        <w:jc w:val="left"/>
      </w:pPr>
      <w:r>
        <w:rPr>
          <w:rFonts w:ascii="仿宋_GB2312" w:hAnsi="仿宋_GB2312" w:cs="仿宋_GB2312" w:eastAsia="仿宋_GB2312"/>
          <w:sz w:val="20"/>
        </w:rPr>
        <w:t>附件7：报价明细表</w:t>
      </w:r>
    </w:p>
    <w:p>
      <w:pPr>
        <w:pStyle w:val="null3"/>
        <w:jc w:val="center"/>
      </w:pPr>
      <w:r>
        <w:rPr>
          <w:rFonts w:ascii="仿宋_GB2312" w:hAnsi="仿宋_GB2312" w:cs="仿宋_GB2312" w:eastAsia="仿宋_GB2312"/>
          <w:sz w:val="20"/>
        </w:rPr>
        <w:t>（以下无正文）</w:t>
      </w:r>
    </w:p>
    <w:p>
      <w:pPr>
        <w:pStyle w:val="null3"/>
        <w:jc w:val="center"/>
      </w:pPr>
      <w:r>
        <w:rPr>
          <w:rFonts w:ascii="仿宋_GB2312" w:hAnsi="仿宋_GB2312" w:cs="仿宋_GB2312" w:eastAsia="仿宋_GB2312"/>
          <w:sz w:val="20"/>
          <w:b/>
        </w:rPr>
        <w:t>甲方（盖章）： 乙方（盖章）：</w:t>
      </w:r>
    </w:p>
    <w:p>
      <w:pPr>
        <w:pStyle w:val="null3"/>
        <w:jc w:val="left"/>
      </w:pPr>
      <w:r>
        <w:rPr>
          <w:rFonts w:ascii="仿宋_GB2312" w:hAnsi="仿宋_GB2312" w:cs="仿宋_GB2312" w:eastAsia="仿宋_GB2312"/>
          <w:sz w:val="20"/>
          <w:b/>
        </w:rPr>
        <w:t>代表： 代表：</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开户名称：</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银行帐号：</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开 户 行：</w:t>
      </w:r>
    </w:p>
    <w:p>
      <w:pPr>
        <w:pStyle w:val="null3"/>
        <w:jc w:val="left"/>
      </w:pPr>
      <w:r>
        <w:rPr>
          <w:rFonts w:ascii="仿宋_GB2312" w:hAnsi="仿宋_GB2312" w:cs="仿宋_GB2312" w:eastAsia="仿宋_GB2312"/>
          <w:sz w:val="20"/>
        </w:rPr>
        <w:t>签定日期：　　　年　　月　　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b/>
        </w:rPr>
        <w:t>附件1：项目需求书（（简化版），详见招标文件）</w:t>
      </w:r>
    </w:p>
    <w:p>
      <w:pPr>
        <w:pStyle w:val="null3"/>
        <w:jc w:val="left"/>
      </w:pPr>
      <w:r>
        <w:rPr>
          <w:rFonts w:ascii="仿宋_GB2312" w:hAnsi="仿宋_GB2312" w:cs="仿宋_GB2312" w:eastAsia="仿宋_GB2312"/>
          <w:sz w:val="20"/>
          <w:b/>
        </w:rPr>
        <w:t>附件2：保密协议书</w:t>
      </w:r>
    </w:p>
    <w:p>
      <w:pPr>
        <w:pStyle w:val="null3"/>
        <w:jc w:val="left"/>
      </w:pPr>
      <w:r>
        <w:rPr>
          <w:rFonts w:ascii="仿宋_GB2312" w:hAnsi="仿宋_GB2312" w:cs="仿宋_GB2312" w:eastAsia="仿宋_GB2312"/>
          <w:sz w:val="20"/>
          <w:b/>
        </w:rPr>
        <w:t>保密协议书</w:t>
      </w:r>
    </w:p>
    <w:p>
      <w:pPr>
        <w:pStyle w:val="null3"/>
        <w:jc w:val="left"/>
      </w:pPr>
      <w:r>
        <w:rPr>
          <w:rFonts w:ascii="仿宋_GB2312" w:hAnsi="仿宋_GB2312" w:cs="仿宋_GB2312" w:eastAsia="仿宋_GB2312"/>
          <w:sz w:val="20"/>
        </w:rPr>
        <w:t>为加强信息技术资料和数据的保密管理，双方根据国家有关法律、法规，本着平等、自愿、协商一致、诚实信用的原则，就乙方为甲方提供软件修改完善、数据处理和技术支持服务（下称项目）等工作中的保密事宜达成如下协议：</w:t>
      </w:r>
    </w:p>
    <w:p>
      <w:pPr>
        <w:pStyle w:val="null3"/>
        <w:numPr>
          <w:ilvl w:val="0"/>
          <w:numId w:val="1"/>
        </w:numPr>
        <w:ind w:left="720"/>
        <w:jc w:val="left"/>
      </w:pPr>
      <w:r>
        <w:rPr>
          <w:rFonts w:ascii="仿宋_GB2312" w:hAnsi="仿宋_GB2312" w:cs="仿宋_GB2312" w:eastAsia="仿宋_GB2312"/>
          <w:sz w:val="20"/>
        </w:rPr>
        <w:t>保密信息</w:t>
      </w:r>
    </w:p>
    <w:p>
      <w:pPr>
        <w:pStyle w:val="null3"/>
        <w:jc w:val="left"/>
      </w:pPr>
      <w:r>
        <w:rPr>
          <w:rFonts w:ascii="仿宋_GB2312" w:hAnsi="仿宋_GB2312" w:cs="仿宋_GB2312" w:eastAsia="仿宋_GB2312"/>
          <w:sz w:val="20"/>
        </w:rPr>
        <w:t>（一）在项目中所涉及的项目设计、图片、开发工具、流程图、工程设计图、计算机程序、数据、专利技术、招标文件等内容。</w:t>
      </w:r>
    </w:p>
    <w:p>
      <w:pPr>
        <w:pStyle w:val="null3"/>
        <w:jc w:val="left"/>
      </w:pPr>
      <w:r>
        <w:rPr>
          <w:rFonts w:ascii="仿宋_GB2312" w:hAnsi="仿宋_GB2312" w:cs="仿宋_GB2312" w:eastAsia="仿宋_GB2312"/>
          <w:sz w:val="20"/>
        </w:rPr>
        <w:t>（二）甲方在合同项目实施中为乙方及乙方工作人员提供必要的数据、程序、用户名、口令和资料等；</w:t>
      </w:r>
    </w:p>
    <w:p>
      <w:pPr>
        <w:pStyle w:val="null3"/>
        <w:jc w:val="left"/>
      </w:pPr>
      <w:r>
        <w:rPr>
          <w:rFonts w:ascii="仿宋_GB2312" w:hAnsi="仿宋_GB2312" w:cs="仿宋_GB2312" w:eastAsia="仿宋_GB2312"/>
          <w:sz w:val="20"/>
        </w:rPr>
        <w:t>（三）甲方应用软件在方案调研、开发阶段中涉及的业务及技术文档，包括税收政策、方案设计细节、程序文件、数据结构，以及相关业务系统的硬软件、文档、测试和测试产生的数据等；</w:t>
      </w:r>
    </w:p>
    <w:p>
      <w:pPr>
        <w:pStyle w:val="null3"/>
        <w:jc w:val="left"/>
      </w:pPr>
      <w:r>
        <w:rPr>
          <w:rFonts w:ascii="仿宋_GB2312" w:hAnsi="仿宋_GB2312" w:cs="仿宋_GB2312" w:eastAsia="仿宋_GB2312"/>
          <w:sz w:val="20"/>
        </w:rPr>
        <w:t>（四）甲方为完成本合同提供的任何其他信息资料并且在提供时未说明是公开信息的。</w:t>
      </w:r>
    </w:p>
    <w:p>
      <w:pPr>
        <w:pStyle w:val="null3"/>
        <w:jc w:val="left"/>
      </w:pPr>
      <w:r>
        <w:rPr>
          <w:rFonts w:ascii="仿宋_GB2312" w:hAnsi="仿宋_GB2312" w:cs="仿宋_GB2312" w:eastAsia="仿宋_GB2312"/>
          <w:sz w:val="20"/>
        </w:rPr>
        <w:t>二、保密范围</w:t>
      </w:r>
    </w:p>
    <w:p>
      <w:pPr>
        <w:pStyle w:val="null3"/>
        <w:jc w:val="left"/>
      </w:pPr>
      <w:r>
        <w:rPr>
          <w:rFonts w:ascii="仿宋_GB2312" w:hAnsi="仿宋_GB2312" w:cs="仿宋_GB2312" w:eastAsia="仿宋_GB2312"/>
          <w:sz w:val="20"/>
        </w:rPr>
        <w:t>（一）甲方已有的技术秘密；</w:t>
      </w:r>
    </w:p>
    <w:p>
      <w:pPr>
        <w:pStyle w:val="null3"/>
        <w:jc w:val="left"/>
      </w:pPr>
      <w:r>
        <w:rPr>
          <w:rFonts w:ascii="仿宋_GB2312" w:hAnsi="仿宋_GB2312" w:cs="仿宋_GB2312" w:eastAsia="仿宋_GB2312"/>
          <w:sz w:val="20"/>
        </w:rPr>
        <w:t>（二）乙方持有的科研成果和技术秘密，经双方协商，乙方同意被甲方使用的；</w:t>
      </w:r>
    </w:p>
    <w:p>
      <w:pPr>
        <w:pStyle w:val="null3"/>
        <w:jc w:val="left"/>
      </w:pPr>
      <w:r>
        <w:rPr>
          <w:rFonts w:ascii="仿宋_GB2312" w:hAnsi="仿宋_GB2312" w:cs="仿宋_GB2312" w:eastAsia="仿宋_GB2312"/>
          <w:sz w:val="20"/>
        </w:rPr>
        <w:t>三、保密条款</w:t>
      </w:r>
    </w:p>
    <w:p>
      <w:pPr>
        <w:pStyle w:val="null3"/>
        <w:jc w:val="left"/>
      </w:pPr>
      <w:r>
        <w:rPr>
          <w:rFonts w:ascii="仿宋_GB2312" w:hAnsi="仿宋_GB2312" w:cs="仿宋_GB2312" w:eastAsia="仿宋_GB2312"/>
          <w:sz w:val="20"/>
        </w:rPr>
        <w:t>（一）乙方及其工作人员应严格保守甲方的有关保密信息，不得以其他任何手段谋取私利，损害甲方的利益。</w:t>
      </w:r>
    </w:p>
    <w:p>
      <w:pPr>
        <w:pStyle w:val="null3"/>
        <w:jc w:val="left"/>
      </w:pPr>
      <w:r>
        <w:rPr>
          <w:rFonts w:ascii="仿宋_GB2312" w:hAnsi="仿宋_GB2312" w:cs="仿宋_GB2312" w:eastAsia="仿宋_GB2312"/>
          <w:sz w:val="20"/>
        </w:rPr>
        <w:t>（二）未经甲方书面许可，乙方及其工作人员不得以任何名义向有关单位或个人泄漏甲方保密信息。</w:t>
      </w:r>
    </w:p>
    <w:p>
      <w:pPr>
        <w:pStyle w:val="null3"/>
        <w:jc w:val="left"/>
      </w:pPr>
      <w:r>
        <w:rPr>
          <w:rFonts w:ascii="仿宋_GB2312" w:hAnsi="仿宋_GB2312" w:cs="仿宋_GB2312" w:eastAsia="仿宋_GB2312"/>
          <w:sz w:val="20"/>
        </w:rPr>
        <w:t>（三）未经甲方书面许可，乙方及其工作人员不得对有关保密信息进行修改、补充、复制。</w:t>
      </w:r>
    </w:p>
    <w:p>
      <w:pPr>
        <w:pStyle w:val="null3"/>
        <w:jc w:val="left"/>
      </w:pPr>
      <w:r>
        <w:rPr>
          <w:rFonts w:ascii="仿宋_GB2312" w:hAnsi="仿宋_GB2312" w:cs="仿宋_GB2312" w:eastAsia="仿宋_GB2312"/>
          <w:sz w:val="20"/>
        </w:rPr>
        <w:t>（四）未经甲方书面许可，不得将保密信息以任何方式（如E-mail）携带出甲方场所。</w:t>
      </w:r>
    </w:p>
    <w:p>
      <w:pPr>
        <w:pStyle w:val="null3"/>
        <w:jc w:val="left"/>
      </w:pPr>
      <w:r>
        <w:rPr>
          <w:rFonts w:ascii="仿宋_GB2312" w:hAnsi="仿宋_GB2312" w:cs="仿宋_GB2312" w:eastAsia="仿宋_GB2312"/>
          <w:sz w:val="20"/>
        </w:rPr>
        <w:t>四、保密信息的所有权</w:t>
      </w:r>
    </w:p>
    <w:p>
      <w:pPr>
        <w:pStyle w:val="null3"/>
        <w:jc w:val="left"/>
      </w:pPr>
      <w:r>
        <w:rPr>
          <w:rFonts w:ascii="仿宋_GB2312" w:hAnsi="仿宋_GB2312" w:cs="仿宋_GB2312" w:eastAsia="仿宋_GB2312"/>
          <w:sz w:val="20"/>
        </w:rPr>
        <w:t>以上所提及的保密信息均为甲方所有。</w:t>
      </w:r>
    </w:p>
    <w:p>
      <w:pPr>
        <w:pStyle w:val="null3"/>
        <w:jc w:val="left"/>
      </w:pPr>
      <w:r>
        <w:rPr>
          <w:rFonts w:ascii="仿宋_GB2312" w:hAnsi="仿宋_GB2312" w:cs="仿宋_GB2312" w:eastAsia="仿宋_GB2312"/>
          <w:sz w:val="20"/>
        </w:rPr>
        <w:t>五、保密期限</w:t>
      </w:r>
    </w:p>
    <w:p>
      <w:pPr>
        <w:pStyle w:val="null3"/>
        <w:jc w:val="left"/>
      </w:pPr>
      <w:r>
        <w:rPr>
          <w:rFonts w:ascii="仿宋_GB2312" w:hAnsi="仿宋_GB2312" w:cs="仿宋_GB2312" w:eastAsia="仿宋_GB2312"/>
          <w:sz w:val="20"/>
        </w:rPr>
        <w:t>（一）本协议的保密期限为本协议签订之日起至本协议终止之日后满5年。</w:t>
      </w:r>
    </w:p>
    <w:p>
      <w:pPr>
        <w:pStyle w:val="null3"/>
        <w:jc w:val="left"/>
      </w:pPr>
      <w:r>
        <w:rPr>
          <w:rFonts w:ascii="仿宋_GB2312" w:hAnsi="仿宋_GB2312" w:cs="仿宋_GB2312" w:eastAsia="仿宋_GB2312"/>
          <w:sz w:val="20"/>
        </w:rPr>
        <w:t>（二）在本协议失效后，如果本协议中包括的某些保密信息并未失去保密性的，本协议仍对这些未失去保密性的信息发生效力，约束双方的行为。</w:t>
      </w:r>
    </w:p>
    <w:p>
      <w:pPr>
        <w:pStyle w:val="null3"/>
        <w:jc w:val="left"/>
      </w:pPr>
      <w:r>
        <w:rPr>
          <w:rFonts w:ascii="仿宋_GB2312" w:hAnsi="仿宋_GB2312" w:cs="仿宋_GB2312" w:eastAsia="仿宋_GB2312"/>
          <w:sz w:val="20"/>
        </w:rPr>
        <w:t>（三）本协议是为防止甲方的保密信息在协议有效期发生泄漏而制定。因任何理由而导致甲、乙双方的合作项目终止时，乙方应归还甲方所有有关信息资料和文件，但并不免除乙方的保密义务。</w:t>
      </w:r>
    </w:p>
    <w:p>
      <w:pPr>
        <w:pStyle w:val="null3"/>
        <w:jc w:val="left"/>
      </w:pPr>
      <w:r>
        <w:rPr>
          <w:rFonts w:ascii="仿宋_GB2312" w:hAnsi="仿宋_GB2312" w:cs="仿宋_GB2312" w:eastAsia="仿宋_GB2312"/>
          <w:sz w:val="20"/>
        </w:rPr>
        <w:t>六、关系限制</w:t>
      </w:r>
    </w:p>
    <w:p>
      <w:pPr>
        <w:pStyle w:val="null3"/>
        <w:jc w:val="left"/>
      </w:pPr>
      <w:r>
        <w:rPr>
          <w:rFonts w:ascii="仿宋_GB2312" w:hAnsi="仿宋_GB2312" w:cs="仿宋_GB2312" w:eastAsia="仿宋_GB2312"/>
          <w:sz w:val="20"/>
        </w:rPr>
        <w:t>本协议不作为双方建立任何合作关系或其他业务关系的依据。</w:t>
      </w:r>
    </w:p>
    <w:p>
      <w:pPr>
        <w:pStyle w:val="null3"/>
        <w:jc w:val="left"/>
      </w:pPr>
      <w:r>
        <w:rPr>
          <w:rFonts w:ascii="仿宋_GB2312" w:hAnsi="仿宋_GB2312" w:cs="仿宋_GB2312" w:eastAsia="仿宋_GB2312"/>
          <w:sz w:val="20"/>
        </w:rPr>
        <w:t>七、违约责任</w:t>
      </w:r>
    </w:p>
    <w:p>
      <w:pPr>
        <w:pStyle w:val="null3"/>
        <w:jc w:val="left"/>
      </w:pPr>
      <w:r>
        <w:rPr>
          <w:rFonts w:ascii="仿宋_GB2312" w:hAnsi="仿宋_GB2312" w:cs="仿宋_GB2312" w:eastAsia="仿宋_GB2312"/>
          <w:sz w:val="20"/>
        </w:rPr>
        <w:t>乙方未遵守本协议的约定泄露或使用保密信息的，甲方有权单方解除项目合同，乙方应在收到甲方解除合同通知之日起10日内按合同总价的30%向甲方支付违约金，并赔偿因此给甲方造成的全部损失，甲方有权进一步追究乙方一切相关法律责任。</w:t>
      </w:r>
    </w:p>
    <w:p>
      <w:pPr>
        <w:pStyle w:val="null3"/>
        <w:jc w:val="left"/>
      </w:pPr>
      <w:r>
        <w:rPr>
          <w:rFonts w:ascii="仿宋_GB2312" w:hAnsi="仿宋_GB2312" w:cs="仿宋_GB2312" w:eastAsia="仿宋_GB2312"/>
          <w:sz w:val="20"/>
          <w:b/>
        </w:rPr>
        <w:t>附件3：廉政协议书</w:t>
      </w:r>
    </w:p>
    <w:p>
      <w:pPr>
        <w:pStyle w:val="null3"/>
        <w:jc w:val="left"/>
      </w:pPr>
      <w:r>
        <w:rPr>
          <w:rFonts w:ascii="仿宋_GB2312" w:hAnsi="仿宋_GB2312" w:cs="仿宋_GB2312" w:eastAsia="仿宋_GB2312"/>
          <w:sz w:val="20"/>
          <w:b/>
        </w:rPr>
        <w:t>廉政协议书</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为增强甲乙双方廉政意识，完善自我约束、自我监督机制，营造守法诚信、廉洁高效的工作环境，使甲乙双方的业务往来充分体现公开、公平、透明、恪守诚信的精神，预防各种谋取不正当利益的违法违纪行为发生，维护国家、集体和当事人的合法权益，根据国家有关法律法规和廉洁自律规定，特订立本廉政协议书。</w:t>
      </w:r>
    </w:p>
    <w:p>
      <w:pPr>
        <w:pStyle w:val="null3"/>
        <w:jc w:val="left"/>
      </w:pPr>
      <w:r>
        <w:rPr>
          <w:rFonts w:ascii="仿宋_GB2312" w:hAnsi="仿宋_GB2312" w:cs="仿宋_GB2312" w:eastAsia="仿宋_GB2312"/>
          <w:sz w:val="20"/>
        </w:rPr>
        <w:t>　　第一条　甲乙双方的权利和义务</w:t>
      </w:r>
    </w:p>
    <w:p>
      <w:pPr>
        <w:pStyle w:val="null3"/>
        <w:jc w:val="left"/>
      </w:pPr>
      <w:r>
        <w:rPr>
          <w:rFonts w:ascii="仿宋_GB2312" w:hAnsi="仿宋_GB2312" w:cs="仿宋_GB2312" w:eastAsia="仿宋_GB2312"/>
          <w:sz w:val="20"/>
        </w:rPr>
        <w:t>　　（一）严格遵守国家法律法规和廉政建设的相关规定。</w:t>
      </w:r>
    </w:p>
    <w:p>
      <w:pPr>
        <w:pStyle w:val="null3"/>
        <w:jc w:val="left"/>
      </w:pPr>
      <w:r>
        <w:rPr>
          <w:rFonts w:ascii="仿宋_GB2312" w:hAnsi="仿宋_GB2312" w:cs="仿宋_GB2312" w:eastAsia="仿宋_GB2312"/>
          <w:sz w:val="20"/>
        </w:rPr>
        <w:t>　　（二）严格执行合同，自觉履行合同约定的相关义务。</w:t>
      </w:r>
    </w:p>
    <w:p>
      <w:pPr>
        <w:pStyle w:val="null3"/>
        <w:jc w:val="left"/>
      </w:pPr>
      <w:r>
        <w:rPr>
          <w:rFonts w:ascii="仿宋_GB2312" w:hAnsi="仿宋_GB2312" w:cs="仿宋_GB2312" w:eastAsia="仿宋_GB2312"/>
          <w:sz w:val="20"/>
        </w:rPr>
        <w:t>　　（三）双方的业务活动坚持公开、公正、诚信、透明的原则，不得损坏国家和集体利益。</w:t>
      </w:r>
    </w:p>
    <w:p>
      <w:pPr>
        <w:pStyle w:val="null3"/>
        <w:jc w:val="left"/>
      </w:pPr>
      <w:r>
        <w:rPr>
          <w:rFonts w:ascii="仿宋_GB2312" w:hAnsi="仿宋_GB2312" w:cs="仿宋_GB2312" w:eastAsia="仿宋_GB2312"/>
          <w:sz w:val="20"/>
        </w:rPr>
        <w:t>　　（四）双方应对各自工作人员开展廉政教育，增强相关人员廉洁自律的意识。</w:t>
      </w:r>
    </w:p>
    <w:p>
      <w:pPr>
        <w:pStyle w:val="null3"/>
        <w:jc w:val="left"/>
      </w:pPr>
      <w:r>
        <w:rPr>
          <w:rFonts w:ascii="仿宋_GB2312" w:hAnsi="仿宋_GB2312" w:cs="仿宋_GB2312" w:eastAsia="仿宋_GB2312"/>
          <w:sz w:val="20"/>
        </w:rPr>
        <w:t>　　（五）发现对方在业务活动中有违反廉政规定的行为，有及时提醒对方纠正的权利和义务。</w:t>
      </w:r>
    </w:p>
    <w:p>
      <w:pPr>
        <w:pStyle w:val="null3"/>
        <w:jc w:val="left"/>
      </w:pPr>
      <w:r>
        <w:rPr>
          <w:rFonts w:ascii="仿宋_GB2312" w:hAnsi="仿宋_GB2312" w:cs="仿宋_GB2312" w:eastAsia="仿宋_GB2312"/>
          <w:sz w:val="20"/>
        </w:rPr>
        <w:t>　　（六）发现对方严重违反本协议书条款的行为，有举报、建议给予处理并要求告知处理结果的权利。</w:t>
      </w:r>
    </w:p>
    <w:p>
      <w:pPr>
        <w:pStyle w:val="null3"/>
        <w:jc w:val="left"/>
      </w:pPr>
      <w:r>
        <w:rPr>
          <w:rFonts w:ascii="仿宋_GB2312" w:hAnsi="仿宋_GB2312" w:cs="仿宋_GB2312" w:eastAsia="仿宋_GB2312"/>
          <w:sz w:val="20"/>
        </w:rPr>
        <w:t>　　第二条　甲方义务</w:t>
      </w:r>
    </w:p>
    <w:p>
      <w:pPr>
        <w:pStyle w:val="null3"/>
        <w:jc w:val="left"/>
      </w:pPr>
      <w:r>
        <w:rPr>
          <w:rFonts w:ascii="仿宋_GB2312" w:hAnsi="仿宋_GB2312" w:cs="仿宋_GB2312" w:eastAsia="仿宋_GB2312"/>
          <w:sz w:val="20"/>
        </w:rPr>
        <w:t>　 （一）甲方及其工作人员、亲属不得索要或接受乙方的礼金、有价证券、贵重物品，不得在乙方报销任何应由甲方或个人支付的费用。</w:t>
      </w:r>
    </w:p>
    <w:p>
      <w:pPr>
        <w:pStyle w:val="null3"/>
        <w:jc w:val="left"/>
      </w:pPr>
      <w:r>
        <w:rPr>
          <w:rFonts w:ascii="仿宋_GB2312" w:hAnsi="仿宋_GB2312" w:cs="仿宋_GB2312" w:eastAsia="仿宋_GB2312"/>
          <w:sz w:val="20"/>
        </w:rPr>
        <w:t>（二）甲方工作人员不得参加乙方安排的宴请和娱乐活动；不得接受乙方提供的通讯工具、交通工具和高档办公用品。</w:t>
      </w:r>
    </w:p>
    <w:p>
      <w:pPr>
        <w:pStyle w:val="null3"/>
        <w:jc w:val="left"/>
      </w:pPr>
      <w:r>
        <w:rPr>
          <w:rFonts w:ascii="仿宋_GB2312" w:hAnsi="仿宋_GB2312" w:cs="仿宋_GB2312" w:eastAsia="仿宋_GB2312"/>
          <w:sz w:val="20"/>
        </w:rPr>
        <w:t>（三）甲方及其工作人员不得要求或者接受乙方为其住房装修、婚丧嫁娶活动，配偶子女的工作安排以及出国出境旅游等提供方便。</w:t>
      </w:r>
    </w:p>
    <w:p>
      <w:pPr>
        <w:pStyle w:val="null3"/>
        <w:jc w:val="left"/>
      </w:pPr>
      <w:r>
        <w:rPr>
          <w:rFonts w:ascii="仿宋_GB2312" w:hAnsi="仿宋_GB2312" w:cs="仿宋_GB2312" w:eastAsia="仿宋_GB2312"/>
          <w:sz w:val="20"/>
        </w:rPr>
        <w:t>（四）甲方及其工作人员不得向乙方介绍家属或者亲友从事与甲方业务有关的经济活动。</w:t>
      </w:r>
    </w:p>
    <w:p>
      <w:pPr>
        <w:pStyle w:val="null3"/>
        <w:jc w:val="left"/>
      </w:pPr>
      <w:r>
        <w:rPr>
          <w:rFonts w:ascii="仿宋_GB2312" w:hAnsi="仿宋_GB2312" w:cs="仿宋_GB2312" w:eastAsia="仿宋_GB2312"/>
          <w:sz w:val="20"/>
        </w:rPr>
        <w:t>（五）甲方工作人员及其配偶、子女及其他特定关系人不得以个人借用（包含甲方借给乙方或乙方借给甲方）等名义与乙方或乙方工作人员发生现金、房屋、交通工具和贵重物品往来。</w:t>
      </w:r>
    </w:p>
    <w:p>
      <w:pPr>
        <w:pStyle w:val="null3"/>
        <w:jc w:val="left"/>
      </w:pPr>
      <w:r>
        <w:rPr>
          <w:rFonts w:ascii="仿宋_GB2312" w:hAnsi="仿宋_GB2312" w:cs="仿宋_GB2312" w:eastAsia="仿宋_GB2312"/>
          <w:sz w:val="20"/>
        </w:rPr>
        <w:t>（六）不违反《中共中央纪委关于严格禁止利用职务上的便利谋取不正当利益的若干规定》的内容。</w:t>
      </w:r>
    </w:p>
    <w:p>
      <w:pPr>
        <w:pStyle w:val="null3"/>
        <w:jc w:val="left"/>
      </w:pPr>
      <w:r>
        <w:rPr>
          <w:rFonts w:ascii="仿宋_GB2312" w:hAnsi="仿宋_GB2312" w:cs="仿宋_GB2312" w:eastAsia="仿宋_GB2312"/>
          <w:sz w:val="20"/>
        </w:rPr>
        <w:t>第三条　乙方义务</w:t>
      </w:r>
    </w:p>
    <w:p>
      <w:pPr>
        <w:pStyle w:val="null3"/>
        <w:jc w:val="left"/>
      </w:pPr>
      <w:r>
        <w:rPr>
          <w:rFonts w:ascii="仿宋_GB2312" w:hAnsi="仿宋_GB2312" w:cs="仿宋_GB2312" w:eastAsia="仿宋_GB2312"/>
          <w:sz w:val="20"/>
        </w:rPr>
        <w:t>（一）乙方不得以任何理由向甲方及其工作人员、亲属行贿或馈赠礼金，有价证券，贵重礼品；不得以任何理由为甲方及其工作人员支付应由甲方或个人支付的任何费用。</w:t>
      </w:r>
    </w:p>
    <w:p>
      <w:pPr>
        <w:pStyle w:val="null3"/>
        <w:jc w:val="left"/>
      </w:pPr>
      <w:r>
        <w:rPr>
          <w:rFonts w:ascii="仿宋_GB2312" w:hAnsi="仿宋_GB2312" w:cs="仿宋_GB2312" w:eastAsia="仿宋_GB2312"/>
          <w:sz w:val="20"/>
        </w:rPr>
        <w:t>（二）乙方不得以任何理由安排甲方工作人员参加宴请及娱乐活动；不得为甲方及其工作人员购置或提供通讯工具、交通工具和高档办公用品。</w:t>
      </w:r>
    </w:p>
    <w:p>
      <w:pPr>
        <w:pStyle w:val="null3"/>
        <w:jc w:val="left"/>
      </w:pPr>
      <w:r>
        <w:rPr>
          <w:rFonts w:ascii="仿宋_GB2312" w:hAnsi="仿宋_GB2312" w:cs="仿宋_GB2312" w:eastAsia="仿宋_GB2312"/>
          <w:sz w:val="20"/>
        </w:rPr>
        <w:t>（三）乙方不得为甲方及其工作人员装修住房、婚丧嫁娶、配偶子女的工作安排以及出国出境旅游等提供方便。</w:t>
      </w:r>
    </w:p>
    <w:p>
      <w:pPr>
        <w:pStyle w:val="null3"/>
        <w:jc w:val="left"/>
      </w:pPr>
      <w:r>
        <w:rPr>
          <w:rFonts w:ascii="仿宋_GB2312" w:hAnsi="仿宋_GB2312" w:cs="仿宋_GB2312" w:eastAsia="仿宋_GB2312"/>
          <w:sz w:val="20"/>
        </w:rPr>
        <w:t>（四）乙方不得以谋取非正当利益为目的，擅自与甲方工作人员就业务问题进行私下商谈或者达成利益默契。</w:t>
      </w:r>
    </w:p>
    <w:p>
      <w:pPr>
        <w:pStyle w:val="null3"/>
        <w:numPr>
          <w:ilvl w:val="0"/>
          <w:numId w:val="1"/>
        </w:numPr>
        <w:jc w:val="left"/>
      </w:pPr>
      <w:r>
        <w:rPr>
          <w:rFonts w:ascii="仿宋_GB2312" w:hAnsi="仿宋_GB2312" w:cs="仿宋_GB2312" w:eastAsia="仿宋_GB2312"/>
          <w:sz w:val="20"/>
        </w:rPr>
        <w:t>乙方或乙方工作人员不得以借用（包含甲方借给乙方或乙方借给甲方）等名义与甲方工作人员及其配偶、子女及其他特定关系人发生现金、房屋、交通工具和贵重物品的往来。</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（六）发现甲方工作人员有违反本廉政协议书规定的，应向甲方单位举报。甲方举报投诉联系部门：省税务局纪检组。</w:t>
      </w:r>
    </w:p>
    <w:p>
      <w:pPr>
        <w:pStyle w:val="null3"/>
        <w:jc w:val="left"/>
      </w:pPr>
      <w:r>
        <w:rPr>
          <w:rFonts w:ascii="仿宋_GB2312" w:hAnsi="仿宋_GB2312" w:cs="仿宋_GB2312" w:eastAsia="仿宋_GB2312"/>
          <w:sz w:val="20"/>
        </w:rPr>
        <w:t>第四条　违约责任</w:t>
      </w:r>
    </w:p>
    <w:p>
      <w:pPr>
        <w:pStyle w:val="null3"/>
        <w:jc w:val="left"/>
      </w:pPr>
      <w:r>
        <w:rPr>
          <w:rFonts w:ascii="仿宋_GB2312" w:hAnsi="仿宋_GB2312" w:cs="仿宋_GB2312" w:eastAsia="仿宋_GB2312"/>
          <w:sz w:val="20"/>
        </w:rPr>
        <w:t>（一）甲方及其工作人员违反本协议书第一、二条，按管理权限，依据有关规定给予党纪、政纪或组织处理；涉嫌犯罪的，移交司法机关追究责任；给乙方造成经济损失的，应予以赔偿。</w:t>
      </w:r>
    </w:p>
    <w:p>
      <w:pPr>
        <w:pStyle w:val="null3"/>
        <w:numPr>
          <w:ilvl w:val="0"/>
          <w:numId w:val="1"/>
        </w:numPr>
        <w:jc w:val="left"/>
      </w:pPr>
      <w:r>
        <w:rPr>
          <w:rFonts w:ascii="仿宋_GB2312" w:hAnsi="仿宋_GB2312" w:cs="仿宋_GB2312" w:eastAsia="仿宋_GB2312"/>
          <w:sz w:val="20"/>
        </w:rPr>
        <w:t>乙方及其工作人员违反本协议书第一、三条，经认定事实清楚、证据确凿的，根据具体情节和造成的后果，甲方有权对乙方采取以下一种或多种处理办法：</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、甲方向乙方提出书面警告；</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、在一定范围（甲方及其关联单位）内通报乙方违约行为；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、将乙方列入不良行为记录名单，在一至三年内禁止参加甲方招标；情节严重的，甲方建议主管部门给予乙方一至三年内不得进入其主管的市场的处罚；</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、扣除乙方合同履约保证金；</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、甲方有权终止涉及违约的业务合同，拒绝支付涉及违约的业务合同余款；</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、如给甲方造成经济损失的，则全部由乙方赔偿。</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（三）本协议中有关处理条款的约定不影响业务合同中有关违约责任追究权利的行使。</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（四）如乙方或其工作人员涉及犯罪的，甲方有权报送司法机关追究其刑事责任。</w:t>
      </w:r>
    </w:p>
    <w:p>
      <w:pPr>
        <w:pStyle w:val="null3"/>
        <w:jc w:val="left"/>
      </w:pPr>
      <w:r>
        <w:rPr>
          <w:rFonts w:ascii="仿宋_GB2312" w:hAnsi="仿宋_GB2312" w:cs="仿宋_GB2312" w:eastAsia="仿宋_GB2312"/>
          <w:sz w:val="20"/>
        </w:rPr>
        <w:t>第五条 本协议书作为合同的组成部分，与合同具有同等的法律效力，经双方签署后立即生效。本协议书的签订并不免除双方的其他合同责任与义务。</w:t>
      </w:r>
    </w:p>
    <w:p>
      <w:pPr>
        <w:pStyle w:val="null3"/>
        <w:jc w:val="left"/>
      </w:pPr>
      <w:r>
        <w:rPr>
          <w:rFonts w:ascii="仿宋_GB2312" w:hAnsi="仿宋_GB2312" w:cs="仿宋_GB2312" w:eastAsia="仿宋_GB2312"/>
          <w:sz w:val="20"/>
          <w:b/>
        </w:rPr>
        <w:t>附件4：网络和数据安全责任协议书</w:t>
      </w:r>
    </w:p>
    <w:p>
      <w:pPr>
        <w:pStyle w:val="null3"/>
        <w:jc w:val="left"/>
      </w:pPr>
      <w:r>
        <w:rPr>
          <w:rFonts w:ascii="仿宋_GB2312" w:hAnsi="仿宋_GB2312" w:cs="仿宋_GB2312" w:eastAsia="仿宋_GB2312"/>
          <w:sz w:val="20"/>
          <w:b/>
        </w:rPr>
        <w:t>网络和数据安全责任协议书</w:t>
      </w:r>
    </w:p>
    <w:p>
      <w:pPr>
        <w:pStyle w:val="null3"/>
        <w:jc w:val="left"/>
      </w:pPr>
      <w:r>
        <w:rPr>
          <w:rFonts w:ascii="仿宋_GB2312" w:hAnsi="仿宋_GB2312" w:cs="仿宋_GB2312" w:eastAsia="仿宋_GB2312"/>
          <w:sz w:val="20"/>
        </w:rPr>
        <w:t>为加强网络和数据安全管理，甲乙双方根据国家有关法律、法规，本着平等、自愿、协商一致、诚实信用的原则，就乙方为甲方提供软件修改完善、数据处理和技术支持服务（下称“项目”）等工作中的安全责任及违约条款达成如下协议：</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乙方在本合同履行期间发生违反网络安全规定行为，造成主要业务系统瘫痪等不良后果的，甲方有权每次以不超过合同总价5%的幅度扣减应付未付合同款；合同期间内超过2次的，甲方有权解除部分或全部合同。造成损失的，乙方还应赔偿损失。</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乙方对其派驻的服务人员负有管理责任，应定期组织开展数据安全检查。乙方在本合同履行期间造成数据失窃或丢失、敏感信息泄露等不良后果的，甲方有权解除部分或全部合同。甲方有权每次以不超过合同总价20%的幅度扣减应付未付合同款；造成损失的，乙方还应赔偿损失。经甲方认定，按规定纳入失信名单并报国家税务总局。</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网络安全日常管理及应急演练要求。乙方应严格执行甲方网络安全相关规定，积极配合做好网络安全攻防演习等重点工作。若乙方在服务期限内违反以下规定，甲方有权每次以不超过合同总价5%的幅度扣减应付未付合同款，合同期间内超过2次的，甲方有权解除部分或全部合同。造成严重后果的，经甲方认定，按规定纳入失信名单并报国家税务总局。同时，原项目合同或本补充协议有其他特别规定的，乙方还应按特别规定承担违约责任。</w:t>
      </w:r>
    </w:p>
    <w:p>
      <w:pPr>
        <w:pStyle w:val="null3"/>
        <w:jc w:val="left"/>
      </w:pPr>
      <w:r>
        <w:rPr>
          <w:rFonts w:ascii="仿宋_GB2312" w:hAnsi="仿宋_GB2312" w:cs="仿宋_GB2312" w:eastAsia="仿宋_GB2312"/>
          <w:sz w:val="20"/>
        </w:rPr>
        <w:t xml:space="preserve">3.1 </w:t>
      </w:r>
      <w:r>
        <w:rPr>
          <w:rFonts w:ascii="仿宋_GB2312" w:hAnsi="仿宋_GB2312" w:cs="仿宋_GB2312" w:eastAsia="仿宋_GB2312"/>
          <w:sz w:val="20"/>
        </w:rPr>
        <w:t>账号口令安全。乙方应定期检查账号和权限，严禁超权限配置账号，严禁共用、借用、混用账号；定期检查修改应用系统、中间件、数据库、服务器、堡垒机、跳板机、网络设备、安全设备等口令，多台设备不得使用相同口令，并要确保口令符合强度要求（至少8位以上，包含数字、字母、字符和大小写）；妥善做好账号口令保管，严禁在外网电脑或移动存储介质存放，严禁在内网电脑集中保存、非加密保存。</w:t>
      </w:r>
    </w:p>
    <w:p>
      <w:pPr>
        <w:pStyle w:val="null3"/>
        <w:jc w:val="left"/>
      </w:pPr>
      <w:r>
        <w:rPr>
          <w:rFonts w:ascii="仿宋_GB2312" w:hAnsi="仿宋_GB2312" w:cs="仿宋_GB2312" w:eastAsia="仿宋_GB2312"/>
          <w:sz w:val="20"/>
        </w:rPr>
        <w:t xml:space="preserve">3.2 </w:t>
      </w:r>
      <w:r>
        <w:rPr>
          <w:rFonts w:ascii="仿宋_GB2312" w:hAnsi="仿宋_GB2312" w:cs="仿宋_GB2312" w:eastAsia="仿宋_GB2312"/>
          <w:sz w:val="20"/>
        </w:rPr>
        <w:t>源代码安全。应用软件上线前必须开展源代码安全审计，并完成问题整改后才能正式部署；禁止将程序源代码上传至互联网共享平台；自建代码管理平台应具备身份鉴别及加密传输功能，并遵循“工作必需”和“最小授权”原则进行账户权限分配；在源代码传递过程中，乙方必须采取有效安全措施，严防代码泄露安全事件发生。</w:t>
      </w:r>
    </w:p>
    <w:p>
      <w:pPr>
        <w:pStyle w:val="null3"/>
        <w:jc w:val="left"/>
      </w:pPr>
      <w:r>
        <w:rPr>
          <w:rFonts w:ascii="仿宋_GB2312" w:hAnsi="仿宋_GB2312" w:cs="仿宋_GB2312" w:eastAsia="仿宋_GB2312"/>
          <w:sz w:val="20"/>
        </w:rPr>
        <w:t xml:space="preserve">3.3 </w:t>
      </w:r>
      <w:r>
        <w:rPr>
          <w:rFonts w:ascii="仿宋_GB2312" w:hAnsi="仿宋_GB2312" w:cs="仿宋_GB2312" w:eastAsia="仿宋_GB2312"/>
          <w:sz w:val="20"/>
        </w:rPr>
        <w:t>数据安全。严禁在开发测试环境使用税务生产数据；严禁未经审批授权查询导出数据；严禁在公司或个人内（外）网电脑、服务器及移动存储介质留存税费数据；严禁通过互联网传输税费数据；严禁非法提供、传播、公开、盗卖税费数据；严禁恶意篡改、破坏税费数据；乙方必须妥善做好税费数据备份，防止数据意外丢失或损坏。</w:t>
      </w:r>
    </w:p>
    <w:p>
      <w:pPr>
        <w:pStyle w:val="null3"/>
        <w:jc w:val="left"/>
      </w:pPr>
      <w:r>
        <w:rPr>
          <w:rFonts w:ascii="仿宋_GB2312" w:hAnsi="仿宋_GB2312" w:cs="仿宋_GB2312" w:eastAsia="仿宋_GB2312"/>
          <w:sz w:val="20"/>
        </w:rPr>
        <w:t xml:space="preserve">3.4 </w:t>
      </w:r>
      <w:r>
        <w:rPr>
          <w:rFonts w:ascii="仿宋_GB2312" w:hAnsi="仿宋_GB2312" w:cs="仿宋_GB2312" w:eastAsia="仿宋_GB2312"/>
          <w:sz w:val="20"/>
        </w:rPr>
        <w:t>终端安全</w:t>
      </w:r>
    </w:p>
    <w:p>
      <w:pPr>
        <w:pStyle w:val="null3"/>
        <w:jc w:val="left"/>
      </w:pPr>
      <w:r>
        <w:rPr>
          <w:rFonts w:ascii="仿宋_GB2312" w:hAnsi="仿宋_GB2312" w:cs="仿宋_GB2312" w:eastAsia="仿宋_GB2312"/>
          <w:sz w:val="20"/>
        </w:rPr>
        <w:t xml:space="preserve">3.4.1 </w:t>
      </w:r>
      <w:r>
        <w:rPr>
          <w:rFonts w:ascii="仿宋_GB2312" w:hAnsi="仿宋_GB2312" w:cs="仿宋_GB2312" w:eastAsia="仿宋_GB2312"/>
          <w:sz w:val="20"/>
        </w:rPr>
        <w:t>办公终端安全。办公用的内（外）网终端，必须规范安装杀毒软件并及时更新，定期全盘查杀各类病毒木马；不访问各类非法和风险网站，不点击下载各类异常链接和文件，卸载各类非法应用和不安全软件，防止被恶意控制，攻防演习期间应尽量关闭或者减少使用互联网终端。严禁自行卸载或通过重装系统等方式变相卸载甲方要求乙方人员安装的终端安全、网络准入等软件。</w:t>
      </w:r>
    </w:p>
    <w:p>
      <w:pPr>
        <w:pStyle w:val="null3"/>
        <w:jc w:val="left"/>
      </w:pPr>
      <w:r>
        <w:rPr>
          <w:rFonts w:ascii="仿宋_GB2312" w:hAnsi="仿宋_GB2312" w:cs="仿宋_GB2312" w:eastAsia="仿宋_GB2312"/>
          <w:sz w:val="20"/>
        </w:rPr>
        <w:t xml:space="preserve">3.4.2 </w:t>
      </w:r>
      <w:r>
        <w:rPr>
          <w:rFonts w:ascii="仿宋_GB2312" w:hAnsi="仿宋_GB2312" w:cs="仿宋_GB2312" w:eastAsia="仿宋_GB2312"/>
          <w:sz w:val="20"/>
        </w:rPr>
        <w:t>其他终端安全。严禁使用手机、平板电脑、家用PC机等终端设备存储或传输税费数据、税务内部文件资料、纳税人缴费人敏感数据以及应用系统账号、口令、网络拓扑、运行管理数据等敏感信息。对于各类邮件、短信、电话、社交软件等保持警惕，必须严防社会工程学攻击，确保安全使用，发现终端使用异常必须立即向甲方网络安全归总部门报告。</w:t>
      </w:r>
    </w:p>
    <w:p>
      <w:pPr>
        <w:pStyle w:val="null3"/>
        <w:jc w:val="left"/>
      </w:pPr>
      <w:r>
        <w:rPr>
          <w:rFonts w:ascii="仿宋_GB2312" w:hAnsi="仿宋_GB2312" w:cs="仿宋_GB2312" w:eastAsia="仿宋_GB2312"/>
          <w:sz w:val="20"/>
        </w:rPr>
        <w:t xml:space="preserve">3.5 </w:t>
      </w:r>
      <w:r>
        <w:rPr>
          <w:rFonts w:ascii="仿宋_GB2312" w:hAnsi="仿宋_GB2312" w:cs="仿宋_GB2312" w:eastAsia="仿宋_GB2312"/>
          <w:sz w:val="20"/>
        </w:rPr>
        <w:t>漏洞整改。针对甲方通报的各类网络安全漏洞，应及时全面排查整改。对于因特殊原因未能整改的，必须采取官方提供的建议和方法配置相应的防护措施和管控手段。特别是攻防演习开始前，必须保证漏洞数量“清零”。无条件修复漏洞，禁止以漏洞修复成本为由要求增加费用。存在已公布的、被国家税务总局安全管理平台或其它权威安全机构发现并公开通报的安全漏洞，如经认定属于乙方责任，甲方有权每次以不超过合同总价1%的幅度扣减应付未付合同款，合同期间内超过2次的，甲方有权解除部分或全部合同。</w:t>
      </w:r>
    </w:p>
    <w:p>
      <w:pPr>
        <w:pStyle w:val="null3"/>
        <w:jc w:val="left"/>
      </w:pPr>
      <w:r>
        <w:rPr>
          <w:rFonts w:ascii="仿宋_GB2312" w:hAnsi="仿宋_GB2312" w:cs="仿宋_GB2312" w:eastAsia="仿宋_GB2312"/>
          <w:sz w:val="20"/>
        </w:rPr>
        <w:t xml:space="preserve">3.6 </w:t>
      </w:r>
      <w:r>
        <w:rPr>
          <w:rFonts w:ascii="仿宋_GB2312" w:hAnsi="仿宋_GB2312" w:cs="仿宋_GB2312" w:eastAsia="仿宋_GB2312"/>
          <w:sz w:val="20"/>
        </w:rPr>
        <w:t>网络及数据安全警示教育。乙方公司须定期（如每季度或半年）对乙方人员开展网络及数据安全警示教育，提交相关佐证材料，并作为合同验收时的提交材料之一。</w:t>
      </w:r>
    </w:p>
    <w:p>
      <w:pPr>
        <w:pStyle w:val="null3"/>
        <w:jc w:val="left"/>
      </w:pPr>
      <w:r>
        <w:rPr>
          <w:rFonts w:ascii="仿宋_GB2312" w:hAnsi="仿宋_GB2312" w:cs="仿宋_GB2312" w:eastAsia="仿宋_GB2312"/>
          <w:sz w:val="20"/>
          <w:b/>
        </w:rPr>
        <w:t>附件5：采购评审结果通知</w:t>
      </w:r>
    </w:p>
    <w:p>
      <w:pPr>
        <w:pStyle w:val="null3"/>
        <w:jc w:val="left"/>
      </w:pPr>
      <w:r>
        <w:rPr>
          <w:rFonts w:ascii="仿宋_GB2312" w:hAnsi="仿宋_GB2312" w:cs="仿宋_GB2312" w:eastAsia="仿宋_GB2312"/>
          <w:sz w:val="20"/>
        </w:rPr>
        <w:t>注：中标后补充</w:t>
      </w:r>
    </w:p>
    <w:p>
      <w:pPr>
        <w:pStyle w:val="null3"/>
        <w:jc w:val="left"/>
      </w:pPr>
      <w:r>
        <w:rPr>
          <w:rFonts w:ascii="仿宋_GB2312" w:hAnsi="仿宋_GB2312" w:cs="仿宋_GB2312" w:eastAsia="仿宋_GB2312"/>
          <w:sz w:val="20"/>
          <w:b/>
        </w:rPr>
        <w:t>附件6：乙方项目组核心成员列表</w:t>
      </w:r>
    </w:p>
    <w:p>
      <w:pPr>
        <w:pStyle w:val="null3"/>
        <w:jc w:val="left"/>
      </w:pPr>
      <w:r>
        <w:rPr>
          <w:rFonts w:ascii="仿宋_GB2312" w:hAnsi="仿宋_GB2312" w:cs="仿宋_GB2312" w:eastAsia="仿宋_GB2312"/>
          <w:sz w:val="20"/>
        </w:rPr>
        <w:t>注：中标后补充</w:t>
      </w:r>
    </w:p>
    <w:p>
      <w:pPr>
        <w:pStyle w:val="null3"/>
        <w:jc w:val="left"/>
      </w:pPr>
      <w:r>
        <w:rPr>
          <w:rFonts w:ascii="仿宋_GB2312" w:hAnsi="仿宋_GB2312" w:cs="仿宋_GB2312" w:eastAsia="仿宋_GB2312"/>
          <w:sz w:val="20"/>
          <w:b/>
        </w:rPr>
        <w:t>附件7：报价明细表</w:t>
      </w:r>
    </w:p>
    <w:p>
      <w:pPr>
        <w:pStyle w:val="null3"/>
        <w:jc w:val="left"/>
      </w:pPr>
      <w:r>
        <w:rPr>
          <w:rFonts w:ascii="仿宋_GB2312" w:hAnsi="仿宋_GB2312" w:cs="仿宋_GB2312" w:eastAsia="仿宋_GB2312"/>
          <w:sz w:val="20"/>
        </w:rPr>
        <w:t>注：中标后补充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广东税务2024年国家税务总局税务人智慧办公平台上线技术支持服务项目（包组二）</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GPCGD24C500FG151F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”项目的招标[采购项目编号为：</w:t>
      </w:r>
      <w:r>
        <w:rPr>
          <w:rFonts w:ascii="仿宋_GB2312" w:hAnsi="仿宋_GB2312" w:cs="仿宋_GB2312" w:eastAsia="仿宋_GB2312"/>
        </w:rPr>
        <w:t>GPCGD24C500FG151F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”项目采购[采购项目编号为</w:t>
      </w:r>
      <w:r>
        <w:rPr>
          <w:rFonts w:ascii="仿宋_GB2312" w:hAnsi="仿宋_GB2312" w:cs="仿宋_GB2312" w:eastAsia="仿宋_GB2312"/>
        </w:rPr>
        <w:t>GPCGD24C500FG151F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国家税务总局广东省税务局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招标中获中标（采购项目编号：</w:t>
      </w:r>
      <w:r>
        <w:rPr>
          <w:rFonts w:ascii="仿宋_GB2312" w:hAnsi="仿宋_GB2312" w:cs="仿宋_GB2312" w:eastAsia="仿宋_GB2312"/>
        </w:rPr>
        <w:t>GPCGD24C500FG151F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广东税务2024年国家税务总局税务人智慧办公平台上线技术支持服务项目（包组二）</w:t>
      </w:r>
      <w:r>
        <w:rPr>
          <w:rFonts w:ascii="仿宋_GB2312" w:hAnsi="仿宋_GB2312" w:cs="仿宋_GB2312" w:eastAsia="仿宋_GB2312"/>
        </w:rPr>
        <w:t>”项目（采购项目编号：</w:t>
      </w:r>
      <w:r>
        <w:rPr>
          <w:rFonts w:ascii="仿宋_GB2312" w:hAnsi="仿宋_GB2312" w:cs="仿宋_GB2312" w:eastAsia="仿宋_GB2312"/>
        </w:rPr>
        <w:t>GPCGD24C500FG151F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