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国家税务总局广州市税务局云平台及服务器运维服务项目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GPCGD24C500FG153F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国家税务总局广州市税务局云平台及服务器运维服务项目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国家税务总局广州市税务局云平台及服务器运维服务项目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GPCGD24C500FG153F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1,700,000.00元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w:t>
      </w:r>
    </w:p>
    <w:p>
      <w:pPr>
        <w:pStyle w:val="null3"/>
        <w:jc w:val="left"/>
      </w:pPr>
      <w:r>
        <w:rPr>
          <w:rFonts w:ascii="仿宋_GB2312" w:hAnsi="仿宋_GB2312" w:cs="仿宋_GB2312" w:eastAsia="仿宋_GB2312"/>
        </w:rPr>
        <w:t>采购包最高限价（元）: 1,700,000.00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国家税务总局广州市税务局云平台及服务器运维服务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1,700,000.00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本采购包合同履约期限情况：12个月</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sz w:val="21"/>
          <w:b/>
        </w:rPr>
        <w:t>服务主要内容：为确保国家税务总局广州市税务局云平台、服务器的正常运行，保证各业务系统、工具软件等系统的稳定，广州市税务局对云平台和服务器的软硬件综合技术服务进行采购。</w:t>
      </w:r>
    </w:p>
    <w:p>
      <w:pPr>
        <w:pStyle w:val="null3"/>
        <w:jc w:val="left"/>
      </w:pPr>
      <w:r>
        <w:rPr>
          <w:rFonts w:ascii="仿宋_GB2312" w:hAnsi="仿宋_GB2312" w:cs="仿宋_GB2312" w:eastAsia="仿宋_GB2312"/>
          <w:sz w:val="21"/>
          <w:b/>
        </w:rPr>
        <w:t>本项目属于服务类项目，中小企业划分标准所属行业为：软件和信息技术服务业。</w:t>
      </w:r>
    </w:p>
    <w:p>
      <w:pPr>
        <w:pStyle w:val="null3"/>
        <w:jc w:val="left"/>
      </w:pPr>
      <w:r>
        <w:rPr>
          <w:rFonts w:ascii="仿宋_GB2312" w:hAnsi="仿宋_GB2312" w:cs="仿宋_GB2312" w:eastAsia="仿宋_GB2312"/>
          <w:sz w:val="21"/>
          <w:b/>
        </w:rPr>
        <w:t>本项目属于专门面向中小企业采购项目。</w:t>
      </w:r>
    </w:p>
    <w:p>
      <w:pPr>
        <w:pStyle w:val="null3"/>
        <w:jc w:val="left"/>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(2)其他条件：单位负责人为同一人或者存在直接控股、管理关系的不同供应商，不得同时参加本采购项目投标（提供承诺函）。</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广东省广州市天河区华夏路3号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020-38001738</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郑工/刘工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020-83186835/83187283</w:t>
      </w:r>
      <w:r>
        <w:rPr>
          <w:rFonts w:ascii="仿宋_GB2312" w:hAnsi="仿宋_GB2312" w:cs="仿宋_GB2312" w:eastAsia="仿宋_GB2312"/>
          <w:sz w:val="21"/>
        </w:rPr>
        <w:t>（sczx3@gd.gov.cn推荐使用）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rPr>
        <w:t>“★ ”号条款</w:t>
      </w:r>
      <w:r>
        <w:br/>
      </w:r>
      <w:r>
        <w:rPr>
          <w:rFonts w:ascii="仿宋_GB2312" w:hAnsi="仿宋_GB2312" w:cs="仿宋_GB2312" w:eastAsia="仿宋_GB2312"/>
        </w:rPr>
        <w:t xml:space="preserve"> 《采购人需求书》中标注有“★”号的条款必须实质性响应， 负偏离（不满足要求） 将导致投标无效。</w:t>
      </w:r>
      <w:r>
        <w:br/>
      </w:r>
      <w:r>
        <w:rPr>
          <w:rFonts w:ascii="仿宋_GB2312" w:hAnsi="仿宋_GB2312" w:cs="仿宋_GB2312" w:eastAsia="仿宋_GB2312"/>
        </w:rPr>
        <w:t xml:space="preserve"> ★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供应商投标时需提供承诺函，格式可参照附件）</w:t>
      </w:r>
      <w:r>
        <w:br/>
      </w:r>
      <w:r>
        <w:rPr>
          <w:rFonts w:ascii="仿宋_GB2312" w:hAnsi="仿宋_GB2312" w:cs="仿宋_GB2312" w:eastAsia="仿宋_GB2312"/>
        </w:rPr>
        <w:t xml:space="preserve"> ★投标人承诺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函，可参照“投标文件格式”中《承诺函》格式）。</w:t>
      </w:r>
      <w:r>
        <w:br/>
      </w:r>
      <w:r>
        <w:rPr>
          <w:rFonts w:ascii="仿宋_GB2312" w:hAnsi="仿宋_GB2312" w:cs="仿宋_GB2312" w:eastAsia="仿宋_GB2312"/>
        </w:rPr>
        <w:t xml:space="preserve"> ★投标人承诺所投入人员为投标人的正式员工，或签合同满一年的人员。（投标时提交承诺函，格式可参考附件）</w:t>
      </w:r>
      <w:r>
        <w:br/>
      </w:r>
      <w:r>
        <w:rPr>
          <w:rFonts w:ascii="仿宋_GB2312" w:hAnsi="仿宋_GB2312" w:cs="仿宋_GB2312" w:eastAsia="仿宋_GB2312"/>
        </w:rPr>
        <w:t xml:space="preserve"> 一、    项目概述</w:t>
      </w:r>
      <w:r>
        <w:br/>
      </w:r>
      <w:r>
        <w:rPr>
          <w:rFonts w:ascii="仿宋_GB2312" w:hAnsi="仿宋_GB2312" w:cs="仿宋_GB2312" w:eastAsia="仿宋_GB2312"/>
        </w:rPr>
        <w:t xml:space="preserve"> 为确保国家税务总局广州市税务局云平台、服务器的正常运行，保证各业务系统、工具软件等系统的稳定，广州市税务局对云平台和服务器的软硬件综合技术服务进行采购，期限为一年，设备和产品列表附后。服务内容包括云平台技术工程师驻场以及云平台、 服务器的巡检、保修、应急处理等综合服务。</w:t>
      </w:r>
      <w:r>
        <w:br/>
      </w:r>
      <w:r>
        <w:rPr>
          <w:rFonts w:ascii="仿宋_GB2312" w:hAnsi="仿宋_GB2312" w:cs="仿宋_GB2312" w:eastAsia="仿宋_GB2312"/>
        </w:rPr>
        <w:t xml:space="preserve"> 二、    设备和产品列表</w:t>
      </w:r>
      <w:r>
        <w:br/>
      </w:r>
      <w:r>
        <w:rPr>
          <w:rFonts w:ascii="仿宋_GB2312" w:hAnsi="仿宋_GB2312" w:cs="仿宋_GB2312" w:eastAsia="仿宋_GB2312"/>
        </w:rPr>
        <w:t xml:space="preserve"> （一）    云平台产品清单</w:t>
      </w:r>
      <w:r>
        <w:br/>
      </w:r>
      <w:r>
        <w:rPr>
          <w:rFonts w:ascii="仿宋_GB2312" w:hAnsi="仿宋_GB2312" w:cs="仿宋_GB2312" w:eastAsia="仿宋_GB231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478"/>
        <w:gridCol w:w="6081"/>
        <w:gridCol w:w="746"/>
      </w:tblGrid>
      <w:tr>
        <w:tc>
          <w:tcPr>
            <w:tcW w:type="dxa" w:w="147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tcPr>
          <w:p>
            <w:pPr>
              <w:pStyle w:val="null3"/>
              <w:ind w:firstLine="480"/>
              <w:jc w:val="center"/>
            </w:pPr>
            <w:r>
              <w:rPr>
                <w:rFonts w:ascii="仿宋_GB2312" w:hAnsi="仿宋_GB2312" w:cs="仿宋_GB2312" w:eastAsia="仿宋_GB2312"/>
                <w:sz w:val="20"/>
                <w:color w:val="000000"/>
              </w:rPr>
              <w:t>产品</w:t>
            </w:r>
          </w:p>
        </w:tc>
        <w:tc>
          <w:tcPr>
            <w:tcW w:type="dxa" w:w="6081"/>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ind w:firstLine="480"/>
              <w:jc w:val="center"/>
            </w:pPr>
          </w:p>
        </w:tc>
        <w:tc>
          <w:tcPr>
            <w:tcW w:type="dxa" w:w="746"/>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数量</w:t>
            </w:r>
          </w:p>
        </w:tc>
      </w:tr>
      <w:tr>
        <w:tc>
          <w:tcPr>
            <w:tcW w:type="dxa" w:w="1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华为 HCS</w:t>
            </w: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云备份服务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50TB</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大屏组件自定义</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报表自定义</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IaaS</w:t>
            </w:r>
            <w:r>
              <w:rPr>
                <w:rFonts w:ascii="仿宋_GB2312" w:hAnsi="仿宋_GB2312" w:cs="仿宋_GB2312" w:eastAsia="仿宋_GB2312"/>
                <w:sz w:val="21"/>
              </w:rPr>
              <w:t>云套件标准版</w:t>
            </w:r>
            <w:r>
              <w:rPr>
                <w:rFonts w:ascii="仿宋_GB2312" w:hAnsi="仿宋_GB2312" w:cs="仿宋_GB2312" w:eastAsia="仿宋_GB2312"/>
                <w:sz w:val="21"/>
              </w:rPr>
              <w:t>(</w:t>
            </w:r>
            <w:r>
              <w:rPr>
                <w:rFonts w:ascii="仿宋_GB2312" w:hAnsi="仿宋_GB2312" w:cs="仿宋_GB2312" w:eastAsia="仿宋_GB2312"/>
                <w:sz w:val="21"/>
              </w:rPr>
              <w:t>软</w:t>
            </w:r>
            <w:r>
              <w:rPr>
                <w:rFonts w:ascii="仿宋_GB2312" w:hAnsi="仿宋_GB2312" w:cs="仿宋_GB2312" w:eastAsia="仿宋_GB2312"/>
                <w:sz w:val="21"/>
              </w:rPr>
              <w:t>SDN)</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44CPU</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 xml:space="preserve">eSight </w:t>
            </w:r>
            <w:r>
              <w:rPr>
                <w:rFonts w:ascii="仿宋_GB2312" w:hAnsi="仿宋_GB2312" w:cs="仿宋_GB2312" w:eastAsia="仿宋_GB2312"/>
                <w:sz w:val="21"/>
              </w:rPr>
              <w:t>管理平台</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 xml:space="preserve">eSight </w:t>
            </w:r>
            <w:r>
              <w:rPr>
                <w:rFonts w:ascii="仿宋_GB2312" w:hAnsi="仿宋_GB2312" w:cs="仿宋_GB2312" w:eastAsia="仿宋_GB2312"/>
                <w:sz w:val="21"/>
              </w:rPr>
              <w:t>网络管理许可</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24</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 xml:space="preserve">eSight </w:t>
            </w:r>
            <w:r>
              <w:rPr>
                <w:rFonts w:ascii="仿宋_GB2312" w:hAnsi="仿宋_GB2312" w:cs="仿宋_GB2312" w:eastAsia="仿宋_GB2312"/>
                <w:sz w:val="21"/>
              </w:rPr>
              <w:t>服务器管理许可</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38</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 xml:space="preserve">eSight </w:t>
            </w:r>
            <w:r>
              <w:rPr>
                <w:rFonts w:ascii="仿宋_GB2312" w:hAnsi="仿宋_GB2312" w:cs="仿宋_GB2312" w:eastAsia="仿宋_GB2312"/>
                <w:sz w:val="21"/>
              </w:rPr>
              <w:t>存储管理许可</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3</w:t>
            </w:r>
          </w:p>
        </w:tc>
      </w:tr>
      <w:tr>
        <w:tc>
          <w:tcPr>
            <w:tcW w:type="dxa" w:w="14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华为 FusionAccess桌面云</w:t>
            </w: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FusionAccess</w:t>
            </w:r>
            <w:r>
              <w:rPr>
                <w:rFonts w:ascii="仿宋_GB2312" w:hAnsi="仿宋_GB2312" w:cs="仿宋_GB2312" w:eastAsia="仿宋_GB2312"/>
                <w:sz w:val="21"/>
              </w:rPr>
              <w:t>桌面云标准版</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380</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FusionAccess</w:t>
            </w:r>
            <w:r>
              <w:rPr>
                <w:rFonts w:ascii="仿宋_GB2312" w:hAnsi="仿宋_GB2312" w:cs="仿宋_GB2312" w:eastAsia="仿宋_GB2312"/>
                <w:sz w:val="21"/>
              </w:rPr>
              <w:t>桌面云标准版</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350</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FusionAccess</w:t>
            </w:r>
            <w:r>
              <w:rPr>
                <w:rFonts w:ascii="仿宋_GB2312" w:hAnsi="仿宋_GB2312" w:cs="仿宋_GB2312" w:eastAsia="仿宋_GB2312"/>
                <w:sz w:val="21"/>
              </w:rPr>
              <w:t>应用虚拟化标准版</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10</w:t>
            </w:r>
          </w:p>
        </w:tc>
      </w:tr>
      <w:tr>
        <w:tc>
          <w:tcPr>
            <w:tcW w:type="dxa" w:w="1478"/>
            <w:vMerge/>
            <w:tcBorders>
              <w:top w:val="none" w:color="000000" w:sz="4"/>
              <w:left w:val="single" w:color="000000" w:sz="4"/>
              <w:bottom w:val="single" w:color="000000" w:sz="4"/>
              <w:right w:val="single" w:color="000000" w:sz="4"/>
            </w:tcBorders>
          </w:tcPr>
          <w:p/>
        </w:tc>
        <w:tc>
          <w:tcPr>
            <w:tcW w:type="dxa" w:w="60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FusionAccess</w:t>
            </w:r>
            <w:r>
              <w:rPr>
                <w:rFonts w:ascii="仿宋_GB2312" w:hAnsi="仿宋_GB2312" w:cs="仿宋_GB2312" w:eastAsia="仿宋_GB2312"/>
                <w:sz w:val="21"/>
              </w:rPr>
              <w:t>桌面云标准版</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0"/>
              </w:rPr>
              <w:t>350</w:t>
            </w:r>
          </w:p>
        </w:tc>
      </w:tr>
    </w:tbl>
    <w:p>
      <w:pPr>
        <w:pStyle w:val="null3"/>
        <w:jc w:val="left"/>
      </w:pPr>
      <w:r>
        <w:br/>
      </w:r>
      <w:r>
        <w:rPr>
          <w:rFonts w:ascii="仿宋_GB2312" w:hAnsi="仿宋_GB2312" w:cs="仿宋_GB2312" w:eastAsia="仿宋_GB2312"/>
        </w:rPr>
        <w:t xml:space="preserve"> （二）    其他产品清单</w:t>
      </w:r>
      <w:r>
        <w:br/>
      </w:r>
      <w:r>
        <w:rPr>
          <w:rFonts w:ascii="仿宋_GB2312" w:hAnsi="仿宋_GB2312" w:cs="仿宋_GB2312" w:eastAsia="仿宋_GB2312"/>
        </w:rPr>
        <w:t xml:space="preserve"> 1.    Vmware 虚拟化平台运维服务(20CPU)。</w:t>
      </w:r>
      <w:r>
        <w:br/>
      </w:r>
      <w:r>
        <w:rPr>
          <w:rFonts w:ascii="仿宋_GB2312" w:hAnsi="仿宋_GB2312" w:cs="仿宋_GB2312" w:eastAsia="仿宋_GB2312"/>
        </w:rPr>
        <w:t xml:space="preserve"> （三）    服务器清单</w:t>
      </w:r>
      <w:r>
        <w:br/>
      </w:r>
      <w:r>
        <w:rPr>
          <w:rFonts w:ascii="仿宋_GB2312" w:hAnsi="仿宋_GB2312" w:cs="仿宋_GB2312" w:eastAsia="仿宋_GB2312"/>
        </w:rPr>
        <w:t xml:space="preserve"> (包括与设备为一体的附属设备，例如刀箱、控制机和磁带机等，以采购人现场实际设备为准)</w:t>
      </w:r>
      <w:r>
        <w:br/>
      </w:r>
      <w:r>
        <w:rPr>
          <w:rFonts w:ascii="仿宋_GB2312" w:hAnsi="仿宋_GB2312" w:cs="仿宋_GB2312" w:eastAsia="仿宋_GB2312"/>
        </w:rPr>
        <w:t xml:space="preserve">  </w:t>
      </w:r>
    </w:p>
    <w:tbl>
      <w:tblPr>
        <w:tblW w:w="0" w:type="auto"/>
        <w:tblInd w:type="dxa" w:w="90"/>
        <w:tblBorders>
          <w:top w:val="single"/>
          <w:left w:val="single"/>
          <w:bottom w:val="single"/>
          <w:right w:val="single"/>
          <w:insideH w:val="single"/>
          <w:insideV w:val="single"/>
        </w:tblBorders>
      </w:tblPr>
      <w:tblGrid>
        <w:gridCol w:w="1088"/>
        <w:gridCol w:w="2042"/>
        <w:gridCol w:w="2609"/>
        <w:gridCol w:w="2564"/>
      </w:tblGrid>
      <w:tr>
        <w:tc>
          <w:tcPr>
            <w:tcW w:type="dxa" w:w="108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tcPr>
          <w:p>
            <w:pPr>
              <w:pStyle w:val="null3"/>
              <w:ind w:firstLine="480"/>
              <w:jc w:val="both"/>
            </w:pPr>
            <w:r>
              <w:rPr>
                <w:rFonts w:ascii="仿宋_GB2312" w:hAnsi="仿宋_GB2312" w:cs="仿宋_GB2312" w:eastAsia="仿宋_GB2312"/>
                <w:sz w:val="20"/>
                <w:b/>
                <w:color w:val="000000"/>
              </w:rPr>
              <w:t>品牌</w:t>
            </w:r>
          </w:p>
        </w:tc>
        <w:tc>
          <w:tcPr>
            <w:tcW w:type="dxa" w:w="2042"/>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ind w:firstLine="480"/>
              <w:jc w:val="both"/>
            </w:pPr>
            <w:r>
              <w:rPr>
                <w:rFonts w:ascii="仿宋_GB2312" w:hAnsi="仿宋_GB2312" w:cs="仿宋_GB2312" w:eastAsia="仿宋_GB2312"/>
                <w:sz w:val="20"/>
                <w:b/>
                <w:color w:val="000000"/>
              </w:rPr>
              <w:t>型号</w:t>
            </w:r>
          </w:p>
        </w:tc>
        <w:tc>
          <w:tcPr>
            <w:tcW w:type="dxa" w:w="2609"/>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ind w:firstLine="480"/>
              <w:jc w:val="both"/>
            </w:pPr>
            <w:r>
              <w:rPr>
                <w:rFonts w:ascii="仿宋_GB2312" w:hAnsi="仿宋_GB2312" w:cs="仿宋_GB2312" w:eastAsia="仿宋_GB2312"/>
                <w:sz w:val="20"/>
                <w:b/>
                <w:color w:val="000000"/>
              </w:rPr>
              <w:t>序列号</w:t>
            </w:r>
          </w:p>
        </w:tc>
        <w:tc>
          <w:tcPr>
            <w:tcW w:type="dxa" w:w="2564"/>
            <w:tcBorders>
              <w:top w:val="single" w:color="000000" w:sz="4"/>
              <w:left w:val="none" w:color="000000" w:sz="4"/>
              <w:bottom w:val="single" w:color="000000" w:sz="4"/>
              <w:right w:val="single" w:color="000000" w:sz="4"/>
            </w:tcBorders>
            <w:shd w:fill="D7D7D7"/>
            <w:tcMar>
              <w:top w:type="dxa" w:w="0"/>
              <w:left w:type="dxa" w:w="105"/>
              <w:bottom w:type="dxa" w:w="0"/>
              <w:right w:type="dxa" w:w="105"/>
            </w:tcMar>
          </w:tcPr>
          <w:p>
            <w:pPr>
              <w:pStyle w:val="null3"/>
              <w:ind w:firstLine="480"/>
              <w:jc w:val="both"/>
            </w:pPr>
            <w:r>
              <w:rPr>
                <w:rFonts w:ascii="仿宋_GB2312" w:hAnsi="仿宋_GB2312" w:cs="仿宋_GB2312" w:eastAsia="仿宋_GB2312"/>
                <w:sz w:val="20"/>
                <w:b/>
                <w:color w:val="000000"/>
              </w:rPr>
              <w:t>存放地址</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x3650M2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99M4252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x3850M2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99D3990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x3850M2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99D3992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x3850M2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99D3993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21GV422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2FTZS42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5FTZS42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9V6KF3X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B528232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HLJFDK2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HLKGDK2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HLLJDK2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R910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532KF3X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R930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1NMZCF2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R930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1NP0DF2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R930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1NP6DF2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R930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1NQ5DF2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R930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1NR2DF2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DS-VE22S-B</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HIK10010749819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DS-VE22S-B</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HIK10010749829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NaviData 5200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210235A3TBH19B000003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R4950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210235A2N4H21C000007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R4950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210235A2N4H21C000008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R4950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210235A2N4H21C000009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R4950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210235A2N4H21C000010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R4950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210235A2N4H21C000011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SuperDome X</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SGH725V0L7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SuperDome X</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SGH725V0ME</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2102311TYKNOKC000826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2102312KBNN0KC000021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2102312KBNN0KC000022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2102312NSLN0KC000081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2102312NSLN0KC000082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2102312NSLN0KC000083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2102312NSLN0KC000084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2488H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2102311YGSN0KC004066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2488H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2102311YGSN0KC004067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2488H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2102311YGSN0KC004068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2488H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2102311YGSN0KC004069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210305613210GC000815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210305613210GC000816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210305613210GC000817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210305613210GC000818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210305613210GC000819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210305613210GC000820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210305613210GC000821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210305613210GC000822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210305613210GC000823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210305613210GC000824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2102311TXHN0LC000939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2102311TXHN0LC000940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2102311TXHN0LC000941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2102311TXHN0LC000942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2102311TXHN0LC000943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2102311TYKN0KC000823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KUNLUN 9016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2102311JYR10H8000008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2102311TYKN0KC000828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2102311LDF10GC000093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2102311LDF10GC000139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2102311LDF10GC000143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2102311LDF10GC000146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2102311LDF10GC000149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Taishan 200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2102313AVDN0LC000001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Taishan 200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2102313AVDN0LC000002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210230104310H6000133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2102311CVF10H6000085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2102311CVF10H6000086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2102311CVF10H6000087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2102311CVF10H6000088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2102311CVF10H6000089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2102311CVF10H6000090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2102311CVF10H6000091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2102311CVF10H6000092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Fusioncube6000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210230104310G4000099</w:t>
            </w:r>
            <w:r>
              <w:br/>
            </w:r>
            <w:r>
              <w:rPr>
                <w:rFonts w:ascii="仿宋_GB2312" w:hAnsi="仿宋_GB2312" w:cs="仿宋_GB2312" w:eastAsia="仿宋_GB2312"/>
                <w:sz w:val="20"/>
                <w:color w:val="000000"/>
              </w:rPr>
              <w:t xml:space="preserve"> 210230104310G4000100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KUNLUN 9016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2102311JYR10GA000004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2102310YJW10HA002764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2102310YJW10HA002765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2102310YJW10HA002766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2102310YJW10HA002767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210230104310H6000134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2102311CVF10G4000049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2102311CVF10G4000059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CNG136T4S7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CNG136T4SB</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CNG136T4SM</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DL980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SGH430M0A9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DL980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SGH430M0AB</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SR860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J300D3DT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SR860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J300D3DV</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SR860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J300D3DW</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SR860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J300D3DX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SR860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J300DANX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SR860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J300DANY</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X3650M5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J335G53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X3650M5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J335G56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X3650M5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J335G5N</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华夏路3号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2102311GYX10FC000072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2102311GYX10FC000073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2102311NQH10G5000003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2102311NQH10G6000043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 G8</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FE44CP0214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曙光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I840-G25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9800085600664288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曙光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I840-G25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9800085600664289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番禺区市桥盛泰路336号主楼2楼机房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UIS-CELL 3000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210235A3M4H209000012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白云大道南685号机房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UIS-CELL 3000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210235A3M4H209000013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白云大道南685号机房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UIS-CELL 3000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210235A3M4H20B000169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白云大道南685号机房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华三</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UIS-CELL 3000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210235A3M4H20B000237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白云大道南685号机房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PowerEdge 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1BXJF3X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PowerEdge 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2J8KF3X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ProLiant DL580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CNG230SCQ8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ProLiant DL580 Gen8</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6CU533V2WS</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2102311TXHN0KC002310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2102311TXHN0KC002313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2102310YJA10G9003665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万全 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NC00654162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万全 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NC00728131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从化区街口街广场路50号机房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System X3650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99GP888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从化区街口青云路293号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3J8KF3X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东风东701-1号7楼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J5CKF3X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东风东701-1号7楼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2102311TYKN0KC000825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东风东701-1号7楼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2102311TYBN0K9002367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东风西路152号12楼机房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HIK096342437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210230104310J6000100 Y BC2K08BKPF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210230104310J6000100 Y BC2K08BKPF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210230104310J6000100 Y BC2K08BKPF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210230104310J6000100 Y BC2K08BKPF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番禺区盛泰路338号2楼机房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海康威视DS-VE22S-B</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HIK10010744357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广州大道南123号5楼机房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华为2288H</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2102311TXHN0KC002315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广州大道南123号5楼机房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华为FusionServer 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210230104310J1000112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广州大道南123号5楼机房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华为FusionServer 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210230104310J1000113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广州大道南123号5楼机房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华为RH5288V3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2102351VAY10J5000006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广州大道南123号5楼机房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华为RH5288V3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2102351VAY10J5000010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广州大道南123号5楼机房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 X3850 X6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J305DNM</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海珠区局(海珠区广州大道南917号)_七7楼机房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Lenovo X3850 x6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J305DNL</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海珠区局(海珠区广州大道南917号)_七7楼机房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EISOO</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S8010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2102310YQC10H9000586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EISOO</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S8010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2102310YQC10H9000599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Lenovo</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x3850 X6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06EP724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2BXJF3X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6CU4473EYV</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6CU4473F0H</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6CU4473F0M</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6CU4473F0X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DL380Gen8</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6CU4473F04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6CU4437F2W</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6CU4473F23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6CU4473F2L</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NC00658984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RD630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NC01052825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万全R680 G7</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NC01050281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花都区天贵路106号7楼机房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RH2288HV2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2102310QPE10G1000088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花都区云山大道35号1楼机房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RH2288HV2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2102310QPE10G1000089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花都区云山大道35号1楼机房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DL580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RD630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RD630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DAE22435U4</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210235980810G1000028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DL380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花都区云山大道35号7楼机房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T430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H9CK7J2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机场路131号6楼电子仓库</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8V6KF3X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金钟横路109号机房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X3850M2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99D3996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金钟横路109号机房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2102350UFG10J8000001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金钟横路109号机房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2102350UFG10J8000002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金钟横路109号机房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NC00658993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金钟横路109号机房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NC00728140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金钟横路109号机房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poweredge 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00168736088419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poweredge 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99N4250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2288hv5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2102311TXHNDKC002314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E9000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2102300742N0FB000676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RH2288HV3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2102311QGG10J3000113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proliant dl388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CN75390357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NC00658955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NC00728123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RD630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NC01169976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SR550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J301XV12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清华同方</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超越E900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2120870007962000331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开创大道2652号3楼机房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2102311TYKN0KC000824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荔湾区浣花路111号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2288H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2102311TYKN0KC000827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荔湾区浣花路111号</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RH2285H V2-12L</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2102310LXP10FC000043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南沙区海滨路171号3楼机房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RH2285H V2-12L</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2102310LXP10FC000047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南沙区海滨路171号3楼机房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FUSIONCUBE</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210230104310J7000024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南沙区海滨路173号5楼机房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RH2288H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2102311EDS10G9000267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南沙区海滨路173号5楼机房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RH2288H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2102311QGG10J6000336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南沙区海滨路173号5楼机房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2102310YJA10G6003299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平安大厦5楼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2102310YJA10G9003663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平安大厦5楼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2102311TXHN0KC002309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平安大厦5楼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2102311TXHN0KC002312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平安大厦5楼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爱数</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S8010</w:t>
            </w:r>
            <w:r>
              <w:rPr>
                <w:rFonts w:ascii="仿宋_GB2312" w:hAnsi="仿宋_GB2312" w:cs="仿宋_GB2312" w:eastAsia="仿宋_GB2312"/>
                <w:sz w:val="20"/>
                <w:color w:val="000000"/>
              </w:rPr>
              <w:t>双节点搭配模块</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MO-CL-ES-50-H15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人民北路 779号7楼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爱数</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S8010</w:t>
            </w:r>
            <w:r>
              <w:rPr>
                <w:rFonts w:ascii="仿宋_GB2312" w:hAnsi="仿宋_GB2312" w:cs="仿宋_GB2312" w:eastAsia="仿宋_GB2312"/>
                <w:sz w:val="20"/>
                <w:color w:val="000000"/>
              </w:rPr>
              <w:t>双节点主模块</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MO-CL-ES-50-H07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人民北路 779号7楼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210230150510L4000007YBC2K198KPF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人民北路829号环球广场</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210230150510L4000008YBC2K198KPF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人民北路829号环球广场</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210230150510L4000009YBC2K198KPF</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人民北路829号环球广场</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5YTZS42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戴尔</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R730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F5WTLG2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海康威视</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DS-VE22S-B</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HIK10010742831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210305756810HB000544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210305756810HB000545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210305756810HB000546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210305756810HB000547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210305756810HB000548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210305756810HB000549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210305774810KC000518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210305774810KC000519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210305774810KC000520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210305774810KC000521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210305774810KC000522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CH121 V5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210305774810KC000523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2102310YJWN0HB000062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2102310YJWN0HB000063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2102310YJWN0HB000064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2102310YJWN0HB000065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2102310YJWN0HB000066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2102311FLR10G8000005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2102311QGD10H6001015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RH2288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2102311QGD10HB001330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2102311RXS10HB000295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2102311CVF10J7000039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XH628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2102311CVF10J7000046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NC00728137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NC00728138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RD630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NC01075234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天河北路600号14楼机房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中科可控</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R5240H0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9800185008311528</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天河北路600号15楼机房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中科可控</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R5240H0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9800185008311529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天河北路600号16楼机房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proliant DL580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proliant DL580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proliant DL580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proliant DL580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Huawei</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FusionServer X6800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Lenovo</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system X3850 X6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Lenovo</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system X3850 X6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天河花城大道19号8楼机房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RH5885 V3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2102311LDF10GC000105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小北路54号8楼</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万全R525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小北路丹桂里6号机房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Poeredge r730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5RPJBT2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5Y48232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J9XJF3X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DELL</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r720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OK29V0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HP</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HP ML350G5</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CN771700KJ</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Xseriess346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99BGFCB</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Review288HVS</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2102310yja10g8002733</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NC00728122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NC00728127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NC00728130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r525 g3</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NC00728134</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RD630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0"/>
                <w:color w:val="000000"/>
              </w:rPr>
              <w:t>NC01146532</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越秀区东风西路 154 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 ProLiant DL580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CN76110CB5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增城区荔城街健生西路42号十楼机房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 ProLiant ML150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6CU50470D5</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增城区荔城街健生西路42号十楼机房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 ProLiant ML150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6CU50470D6</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增城区荔城街健生西路42号十楼机房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惠普</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HP ProLiant ML150 Gen9</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6CU50470D7</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增城区荔城街健生西路42号十楼机房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IBM</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X346</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99BGFBX</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增城区荔城街荔乡路10号八楼机房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Fusioncube 6000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2102311CVF10J2000019</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增城区荔城街荔乡路10号八楼机房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Fusioncube 6000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2102311CVF10J2000020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增城区荔城街荔乡路10号八楼机房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华为</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Fusioncube 6000</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2102311CVF10J2000021</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增城区荔城街荔乡路10号八楼机房</w:t>
            </w:r>
          </w:p>
        </w:tc>
      </w:tr>
      <w:tr>
        <w:tc>
          <w:tcPr>
            <w:tcW w:type="dxa" w:w="10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联想</w:t>
            </w:r>
          </w:p>
        </w:tc>
        <w:tc>
          <w:tcPr>
            <w:tcW w:type="dxa" w:w="20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R525 G2</w:t>
            </w:r>
          </w:p>
        </w:tc>
        <w:tc>
          <w:tcPr>
            <w:tcW w:type="dxa" w:w="26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NC00500510</w:t>
            </w:r>
          </w:p>
        </w:tc>
        <w:tc>
          <w:tcPr>
            <w:tcW w:type="dxa" w:w="25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0"/>
                <w:color w:val="000000"/>
              </w:rPr>
              <w:t>增城区荔城街荔乡路10号八楼机房</w:t>
            </w:r>
          </w:p>
        </w:tc>
      </w:tr>
    </w:tbl>
    <w:p>
      <w:pPr>
        <w:pStyle w:val="null3"/>
        <w:jc w:val="left"/>
      </w:pPr>
      <w:r>
        <w:rPr>
          <w:rFonts w:ascii="仿宋_GB2312" w:hAnsi="仿宋_GB2312" w:cs="仿宋_GB2312" w:eastAsia="仿宋_GB2312"/>
        </w:rPr>
        <w:t>三、服务具体要求</w:t>
      </w:r>
      <w:r>
        <w:br/>
      </w:r>
      <w:r>
        <w:rPr>
          <w:rFonts w:ascii="仿宋_GB2312" w:hAnsi="仿宋_GB2312" w:cs="仿宋_GB2312" w:eastAsia="仿宋_GB2312"/>
        </w:rPr>
        <w:t xml:space="preserve"> (一)    服务响应要求</w:t>
      </w:r>
      <w:r>
        <w:br/>
      </w:r>
      <w:r>
        <w:rPr>
          <w:rFonts w:ascii="仿宋_GB2312" w:hAnsi="仿宋_GB2312" w:cs="仿宋_GB2312" w:eastAsia="仿宋_GB2312"/>
        </w:rPr>
        <w:t xml:space="preserve"> 1.    服务级别为7*24（全天候4小时响应），对需现场维修的问题，投标人将在接到故障报修电话后的4小时内到达现场，接到故障报修电话后12小时内修复故障设备。在紧急情况下，不论原来的维护级别如何，采购人均可要求现场紧急响应和服务。</w:t>
      </w:r>
      <w:r>
        <w:br/>
      </w:r>
      <w:r>
        <w:rPr>
          <w:rFonts w:ascii="仿宋_GB2312" w:hAnsi="仿宋_GB2312" w:cs="仿宋_GB2312" w:eastAsia="仿宋_GB2312"/>
        </w:rPr>
        <w:t xml:space="preserve"> 2.    当软硬件问题在规定时间内不能解决，投标人应该对该疑难问题升级服务，包括备机应急服务，直至该问题解决为止。在紧急需求包括操作系统出现运行宕机、系统不能正常运行、关键应用功能停止服务等，应采购人的要求，投标人对软件问题提供现场服务。</w:t>
      </w:r>
      <w:r>
        <w:br/>
      </w:r>
      <w:r>
        <w:rPr>
          <w:rFonts w:ascii="仿宋_GB2312" w:hAnsi="仿宋_GB2312" w:cs="仿宋_GB2312" w:eastAsia="仿宋_GB2312"/>
        </w:rPr>
        <w:t xml:space="preserve"> (二)    设备和产品服务</w:t>
      </w:r>
      <w:r>
        <w:br/>
      </w:r>
      <w:r>
        <w:rPr>
          <w:rFonts w:ascii="仿宋_GB2312" w:hAnsi="仿宋_GB2312" w:cs="仿宋_GB2312" w:eastAsia="仿宋_GB2312"/>
        </w:rPr>
        <w:t xml:space="preserve"> 1.    ★投标人在合同期限内为华夏路机房所签约设备和产品提供一年十二次的健康性保养服务，其他设备每半年一次，在保养报告中提供设备和产品当前的运行状况及相关建设性意见。需提供年度运维报告，总结全年的运行维护情况和资源使用情况。同时，投标人应根据采购人系统实际的软硬件故障发生情况，提交软硬件故障统计分析以及总结报告。（投标时提交承诺函，格式可参考附件）</w:t>
      </w:r>
      <w:r>
        <w:br/>
      </w:r>
      <w:r>
        <w:rPr>
          <w:rFonts w:ascii="仿宋_GB2312" w:hAnsi="仿宋_GB2312" w:cs="仿宋_GB2312" w:eastAsia="仿宋_GB2312"/>
        </w:rPr>
        <w:t xml:space="preserve"> 2.    投标人根据采购人要求，对维护设备清单列表所列设备在本合同维保期内进行服务器停机状态清洁，并通过采购人确认。</w:t>
      </w:r>
      <w:r>
        <w:br/>
      </w:r>
      <w:r>
        <w:rPr>
          <w:rFonts w:ascii="仿宋_GB2312" w:hAnsi="仿宋_GB2312" w:cs="仿宋_GB2312" w:eastAsia="仿宋_GB2312"/>
        </w:rPr>
        <w:t xml:space="preserve"> 3.    提供设备上下架服务和服务合同内设备的搬迁服务。</w:t>
      </w:r>
      <w:r>
        <w:br/>
      </w:r>
      <w:r>
        <w:rPr>
          <w:rFonts w:ascii="仿宋_GB2312" w:hAnsi="仿宋_GB2312" w:cs="仿宋_GB2312" w:eastAsia="仿宋_GB2312"/>
        </w:rPr>
        <w:t xml:space="preserve"> 4.    提供待报废硬盘的拆卸、运输服务。</w:t>
      </w:r>
      <w:r>
        <w:br/>
      </w:r>
      <w:r>
        <w:rPr>
          <w:rFonts w:ascii="仿宋_GB2312" w:hAnsi="仿宋_GB2312" w:cs="仿宋_GB2312" w:eastAsia="仿宋_GB2312"/>
        </w:rPr>
        <w:t xml:space="preserve"> 5.    按照采购人的要求制作设备标签卡，提供标签机色带，用于设备、线路等的标识。</w:t>
      </w:r>
      <w:r>
        <w:br/>
      </w:r>
      <w:r>
        <w:rPr>
          <w:rFonts w:ascii="仿宋_GB2312" w:hAnsi="仿宋_GB2312" w:cs="仿宋_GB2312" w:eastAsia="仿宋_GB2312"/>
        </w:rPr>
        <w:t xml:space="preserve"> 6.    因故障而置换下来的硬盘，须留在采购人现场，由采购人自行处理。</w:t>
      </w:r>
      <w:r>
        <w:br/>
      </w:r>
      <w:r>
        <w:rPr>
          <w:rFonts w:ascii="仿宋_GB2312" w:hAnsi="仿宋_GB2312" w:cs="仿宋_GB2312" w:eastAsia="仿宋_GB2312"/>
        </w:rPr>
        <w:t xml:space="preserve"> (三)    云平台技术支持驻场服务</w:t>
      </w:r>
      <w:r>
        <w:br/>
      </w:r>
      <w:r>
        <w:rPr>
          <w:rFonts w:ascii="仿宋_GB2312" w:hAnsi="仿宋_GB2312" w:cs="仿宋_GB2312" w:eastAsia="仿宋_GB2312"/>
        </w:rPr>
        <w:t xml:space="preserve"> 1.    投标人应指派1名云平台原厂认证工程师在采购人(指定)的工作地点为采购人的云平台产品提供持续的运维支持服务。驻场工程师应具备HCNP资格。</w:t>
      </w:r>
      <w:r>
        <w:br/>
      </w:r>
      <w:r>
        <w:rPr>
          <w:rFonts w:ascii="仿宋_GB2312" w:hAnsi="仿宋_GB2312" w:cs="仿宋_GB2312" w:eastAsia="仿宋_GB2312"/>
        </w:rPr>
        <w:t xml:space="preserve"> 2.    驻场工程师长期和采购人工程师一起在采购人现场工作，需熟悉采购人的内部流程和需求，熟悉采购人的云平台状况，长期专注于采购人现网产品和技术，协助采购人预防重大故障的发生，或者在发生故障时可以快速解决故障。</w:t>
      </w:r>
      <w:r>
        <w:br/>
      </w:r>
      <w:r>
        <w:rPr>
          <w:rFonts w:ascii="仿宋_GB2312" w:hAnsi="仿宋_GB2312" w:cs="仿宋_GB2312" w:eastAsia="仿宋_GB2312"/>
        </w:rPr>
        <w:t xml:space="preserve"> 3.    驻场工程师的工作时间与采购人工作时间一致，正常为每周五天（周一至周五），每天八小时，享有当地国家规定的法定假期。</w:t>
      </w:r>
      <w:r>
        <w:br/>
      </w:r>
      <w:r>
        <w:rPr>
          <w:rFonts w:ascii="仿宋_GB2312" w:hAnsi="仿宋_GB2312" w:cs="仿宋_GB2312" w:eastAsia="仿宋_GB2312"/>
        </w:rPr>
        <w:t xml:space="preserve"> 4.    驻场工程师需提供主用/备用电话联系方式和工作邮箱。</w:t>
      </w:r>
      <w:r>
        <w:br/>
      </w:r>
      <w:r>
        <w:rPr>
          <w:rFonts w:ascii="仿宋_GB2312" w:hAnsi="仿宋_GB2312" w:cs="仿宋_GB2312" w:eastAsia="仿宋_GB2312"/>
        </w:rPr>
        <w:t xml:space="preserve"> 5.    驻场工程师驻场期间，负责如下工作：</w:t>
      </w:r>
      <w:r>
        <w:br/>
      </w:r>
      <w:r>
        <w:rPr>
          <w:rFonts w:ascii="仿宋_GB2312" w:hAnsi="仿宋_GB2312" w:cs="仿宋_GB2312" w:eastAsia="仿宋_GB2312"/>
        </w:rPr>
        <w:t xml:space="preserve"> (1)    日常故障处理及运营周报/月报：负责采购人所有购买原厂服务的设备及产品的技术服务支持，并输出运营周报/月报。</w:t>
      </w:r>
      <w:r>
        <w:br/>
      </w:r>
      <w:r>
        <w:rPr>
          <w:rFonts w:ascii="仿宋_GB2312" w:hAnsi="仿宋_GB2312" w:cs="仿宋_GB2312" w:eastAsia="仿宋_GB2312"/>
        </w:rPr>
        <w:t xml:space="preserve"> (2)    问题处理、跟踪和升级及配合原厂技术支持中心处理故障：按照相关服务条款，负责在第一时间尽快处理采购人设备和产品的重大故障及疑难故障；负责重大故障处理时的问题单升级、问题单跟踪，及收集问题单相关信息，并配合技术支持中心处理故障。</w:t>
      </w:r>
      <w:r>
        <w:br/>
      </w:r>
      <w:r>
        <w:rPr>
          <w:rFonts w:ascii="仿宋_GB2312" w:hAnsi="仿宋_GB2312" w:cs="仿宋_GB2312" w:eastAsia="仿宋_GB2312"/>
        </w:rPr>
        <w:t xml:space="preserve"> (3)    例行检查及报告：负责采购人所有购买了原厂服务的设备及产品的例行检查服务及报告输出。</w:t>
      </w:r>
      <w:r>
        <w:br/>
      </w:r>
      <w:r>
        <w:rPr>
          <w:rFonts w:ascii="仿宋_GB2312" w:hAnsi="仿宋_GB2312" w:cs="仿宋_GB2312" w:eastAsia="仿宋_GB2312"/>
        </w:rPr>
        <w:t xml:space="preserve"> (4)    文档管理：负责维护采购人所有购买了原厂服务的设备及产品的配置信息的维护。</w:t>
      </w:r>
      <w:r>
        <w:br/>
      </w:r>
      <w:r>
        <w:rPr>
          <w:rFonts w:ascii="仿宋_GB2312" w:hAnsi="仿宋_GB2312" w:cs="仿宋_GB2312" w:eastAsia="仿宋_GB2312"/>
        </w:rPr>
        <w:t xml:space="preserve"> (5)    服务接口：作为采购人产品相关服务的统一接口人。</w:t>
      </w:r>
      <w:r>
        <w:br/>
      </w:r>
      <w:r>
        <w:rPr>
          <w:rFonts w:ascii="仿宋_GB2312" w:hAnsi="仿宋_GB2312" w:cs="仿宋_GB2312" w:eastAsia="仿宋_GB2312"/>
        </w:rPr>
        <w:t xml:space="preserve"> (6)    有限产品知识支持：负责提供相关产品运维的技术解答，技术资料及咨询；参与部分重要的运维会议并提供专家建议。</w:t>
      </w:r>
      <w:r>
        <w:br/>
      </w:r>
      <w:r>
        <w:rPr>
          <w:rFonts w:ascii="仿宋_GB2312" w:hAnsi="仿宋_GB2312" w:cs="仿宋_GB2312" w:eastAsia="仿宋_GB2312"/>
        </w:rPr>
        <w:t xml:space="preserve"> (四)    云平台原厂认证工程师二线支持服务</w:t>
      </w:r>
      <w:r>
        <w:br/>
      </w:r>
      <w:r>
        <w:rPr>
          <w:rFonts w:ascii="仿宋_GB2312" w:hAnsi="仿宋_GB2312" w:cs="仿宋_GB2312" w:eastAsia="仿宋_GB2312"/>
        </w:rPr>
        <w:t xml:space="preserve"> 1.    项目经理应具有信息系统项目管理师证书，注册信息安全专业人员（CISP）证书或信息安全保障人员认证（CISAW）证书或信息安全工程师证书之一， Redhat Enterprise Linux 工程师认证。</w:t>
      </w:r>
      <w:r>
        <w:br/>
      </w:r>
      <w:r>
        <w:rPr>
          <w:rFonts w:ascii="仿宋_GB2312" w:hAnsi="仿宋_GB2312" w:cs="仿宋_GB2312" w:eastAsia="仿宋_GB2312"/>
        </w:rPr>
        <w:t xml:space="preserve"> 2.    提供驻场人员以外不少于6人（CATE认证系统工程师至少1人、HCIE-R&amp;S认证网络工程师至少1人、HCIE-Storage认证存储工程师至少1人、HCIE-Cloud认证云计算工程师至少1人、VCP认证虚拟化工程师至少1人、操作系统工程师至少1人）的二线技术团队支持服务，二线工程师进行专家级的支持服务，对采购人驻场工程师提供的情况进行综合评估，对驻场运维、咨询规划提供优化建议。</w:t>
      </w:r>
      <w:r>
        <w:br/>
      </w:r>
      <w:r>
        <w:rPr>
          <w:rFonts w:ascii="仿宋_GB2312" w:hAnsi="仿宋_GB2312" w:cs="仿宋_GB2312" w:eastAsia="仿宋_GB2312"/>
        </w:rPr>
        <w:t xml:space="preserve"> 3.    为了确保驻厂服务厂商有全面服务能力，提供驻厂服务的厂商具备网络、服务器、存储、虚拟化产品的研发和生产能力。</w:t>
      </w:r>
      <w:r>
        <w:br/>
      </w:r>
      <w:r>
        <w:rPr>
          <w:rFonts w:ascii="仿宋_GB2312" w:hAnsi="仿宋_GB2312" w:cs="仿宋_GB2312" w:eastAsia="仿宋_GB2312"/>
        </w:rPr>
        <w:t xml:space="preserve"> 4.    投标人需提供指定的支持服务电话号码（其中云平台要提供原厂保修电话），当采购人提出服务请求后，投标人将在合同限定的服务时间内与采购人密切合作，共同解决系统出现的问题。在提供任何必要的现场服务之前，投标人可以首先使用远程支持服务工具（可行的情况下），对要提供支持的系统进行远程诊断，或通过其它方式为远程解决问题提供帮助。</w:t>
      </w:r>
      <w:r>
        <w:br/>
      </w:r>
      <w:r>
        <w:rPr>
          <w:rFonts w:ascii="仿宋_GB2312" w:hAnsi="仿宋_GB2312" w:cs="仿宋_GB2312" w:eastAsia="仿宋_GB2312"/>
        </w:rPr>
        <w:t xml:space="preserve"> 5.    如果投标人确定问题不能通过远程方式解决，投标人则安排相应的工程师到采购人现场进行运维使其恢复运行。此外，征得采购人同意后，投标人可以进行一些必要的工程改进，以便这些软硬件产品能够正常运行，并与更换部件兼容。采购人全权决定安装固件更新，从而使投标人所提供支持的产品恢复正常运行。</w:t>
      </w:r>
      <w:r>
        <w:br/>
      </w:r>
      <w:r>
        <w:rPr>
          <w:rFonts w:ascii="仿宋_GB2312" w:hAnsi="仿宋_GB2312" w:cs="仿宋_GB2312" w:eastAsia="仿宋_GB2312"/>
        </w:rPr>
        <w:t xml:space="preserve"> 6.    投标人将提供所有维修所需的备件和材料，确保投标人提供支持的硬件设备恢复正常运行。这些备件和材料包括进行必要的工程改进所需的备件和材料。对于备件和材料要求与采购人的设备完全一致，征得采购人同意后，可以允许提供性能优于采购人提供支持的设备部件的备件和材料。</w:t>
      </w:r>
      <w:r>
        <w:br/>
      </w:r>
      <w:r>
        <w:rPr>
          <w:rFonts w:ascii="仿宋_GB2312" w:hAnsi="仿宋_GB2312" w:cs="仿宋_GB2312" w:eastAsia="仿宋_GB2312"/>
        </w:rPr>
        <w:t xml:space="preserve"> 7.    投标人负责对采购人在设备和产品使用各类软件操作过程中所遇到的各类故障、配置、咨询等技术支持维护工作。内容包括但不限于：</w:t>
      </w:r>
      <w:r>
        <w:br/>
      </w:r>
      <w:r>
        <w:rPr>
          <w:rFonts w:ascii="仿宋_GB2312" w:hAnsi="仿宋_GB2312" w:cs="仿宋_GB2312" w:eastAsia="仿宋_GB2312"/>
        </w:rPr>
        <w:t xml:space="preserve"> （1）    为采购人提供系统和应用软件产品特性，已知问题和可用解决方案提供相关最新信息以及使用建议和支持。</w:t>
      </w:r>
      <w:r>
        <w:br/>
      </w:r>
      <w:r>
        <w:rPr>
          <w:rFonts w:ascii="仿宋_GB2312" w:hAnsi="仿宋_GB2312" w:cs="仿宋_GB2312" w:eastAsia="仿宋_GB2312"/>
        </w:rPr>
        <w:t xml:space="preserve"> （2）    软件版本更新，固件的微码更新。</w:t>
      </w:r>
      <w:r>
        <w:br/>
      </w:r>
      <w:r>
        <w:rPr>
          <w:rFonts w:ascii="仿宋_GB2312" w:hAnsi="仿宋_GB2312" w:cs="仿宋_GB2312" w:eastAsia="仿宋_GB2312"/>
        </w:rPr>
        <w:t xml:space="preserve"> （3）    软件介质和文档更新。</w:t>
      </w:r>
      <w:r>
        <w:br/>
      </w:r>
      <w:r>
        <w:rPr>
          <w:rFonts w:ascii="仿宋_GB2312" w:hAnsi="仿宋_GB2312" w:cs="仿宋_GB2312" w:eastAsia="仿宋_GB2312"/>
        </w:rPr>
        <w:t xml:space="preserve"> （4）    协助采购人安装和配置软件，为采购人安装补丁、软件更新，特别是解决安全漏洞和关键功能不正常的软件更新。</w:t>
      </w:r>
      <w:r>
        <w:br/>
      </w:r>
      <w:r>
        <w:rPr>
          <w:rFonts w:ascii="仿宋_GB2312" w:hAnsi="仿宋_GB2312" w:cs="仿宋_GB2312" w:eastAsia="仿宋_GB2312"/>
        </w:rPr>
        <w:t xml:space="preserve"> （5）    服务器集群的安装与配置。</w:t>
      </w:r>
      <w:r>
        <w:br/>
      </w:r>
      <w:r>
        <w:rPr>
          <w:rFonts w:ascii="仿宋_GB2312" w:hAnsi="仿宋_GB2312" w:cs="仿宋_GB2312" w:eastAsia="仿宋_GB2312"/>
        </w:rPr>
        <w:t xml:space="preserve"> (五)    云平台维护、优化</w:t>
      </w:r>
      <w:r>
        <w:br/>
      </w:r>
      <w:r>
        <w:rPr>
          <w:rFonts w:ascii="仿宋_GB2312" w:hAnsi="仿宋_GB2312" w:cs="仿宋_GB2312" w:eastAsia="仿宋_GB2312"/>
        </w:rPr>
        <w:t xml:space="preserve"> 1.    对一段时间（一周、一个月等）范围内的性能指标进行详细分析，对于异常情况进行具体分析，并指出异常原因，提出解决方案。</w:t>
      </w:r>
      <w:r>
        <w:br/>
      </w:r>
      <w:r>
        <w:rPr>
          <w:rFonts w:ascii="仿宋_GB2312" w:hAnsi="仿宋_GB2312" w:cs="仿宋_GB2312" w:eastAsia="仿宋_GB2312"/>
        </w:rPr>
        <w:t xml:space="preserve"> 2.    查找引起性能下降的各种原因，制订解决方案。</w:t>
      </w:r>
      <w:r>
        <w:br/>
      </w:r>
      <w:r>
        <w:rPr>
          <w:rFonts w:ascii="仿宋_GB2312" w:hAnsi="仿宋_GB2312" w:cs="仿宋_GB2312" w:eastAsia="仿宋_GB2312"/>
        </w:rPr>
        <w:t xml:space="preserve"> 3.    根据业务特点及状态，按采购人需要制定调优方案。</w:t>
      </w:r>
      <w:r>
        <w:br/>
      </w:r>
      <w:r>
        <w:rPr>
          <w:rFonts w:ascii="仿宋_GB2312" w:hAnsi="仿宋_GB2312" w:cs="仿宋_GB2312" w:eastAsia="仿宋_GB2312"/>
        </w:rPr>
        <w:t xml:space="preserve"> 4.    在不影响采购人正常业务办公的情况下，对系统做好备份准备。</w:t>
      </w:r>
      <w:r>
        <w:br/>
      </w:r>
      <w:r>
        <w:rPr>
          <w:rFonts w:ascii="仿宋_GB2312" w:hAnsi="仿宋_GB2312" w:cs="仿宋_GB2312" w:eastAsia="仿宋_GB2312"/>
        </w:rPr>
        <w:t xml:space="preserve"> 5.    协助测试应用软件，检测调整后，是否有效提高性能。</w:t>
      </w:r>
      <w:r>
        <w:br/>
      </w:r>
      <w:r>
        <w:rPr>
          <w:rFonts w:ascii="仿宋_GB2312" w:hAnsi="仿宋_GB2312" w:cs="仿宋_GB2312" w:eastAsia="仿宋_GB2312"/>
        </w:rPr>
        <w:t xml:space="preserve"> 6.    评价应用对硬件和系统的资源占用情况，并为硬件升级提供理论支持，提出建议。</w:t>
      </w:r>
      <w:r>
        <w:br/>
      </w:r>
      <w:r>
        <w:rPr>
          <w:rFonts w:ascii="仿宋_GB2312" w:hAnsi="仿宋_GB2312" w:cs="仿宋_GB2312" w:eastAsia="仿宋_GB2312"/>
        </w:rPr>
        <w:t xml:space="preserve"> (六)    云平台备份与恢复</w:t>
      </w:r>
      <w:r>
        <w:br/>
      </w:r>
      <w:r>
        <w:rPr>
          <w:rFonts w:ascii="仿宋_GB2312" w:hAnsi="仿宋_GB2312" w:cs="仿宋_GB2312" w:eastAsia="仿宋_GB2312"/>
        </w:rPr>
        <w:t xml:space="preserve"> 根据采购人实际情况及现场环境提供云平台的备份与恢复的具体实施方案，并在服务期内进行后续维护（包括备份的实施和有效性验证，必要时负责数据恢复）。云平台在线备份和恢复解决方案须满足系统自动、快速的备份和恢复要求，减低潜在数据丢失风险、宕机及安全漏洞，使得系统能更好的满足7×24 小时的业务要求。</w:t>
      </w:r>
      <w:r>
        <w:br/>
      </w:r>
      <w:r>
        <w:rPr>
          <w:rFonts w:ascii="仿宋_GB2312" w:hAnsi="仿宋_GB2312" w:cs="仿宋_GB2312" w:eastAsia="仿宋_GB2312"/>
        </w:rPr>
        <w:t xml:space="preserve"> 1.    根据采购人系统实际情况和所实际使用的备份软件，实施最佳方式备份；</w:t>
      </w:r>
      <w:r>
        <w:br/>
      </w:r>
      <w:r>
        <w:rPr>
          <w:rFonts w:ascii="仿宋_GB2312" w:hAnsi="仿宋_GB2312" w:cs="仿宋_GB2312" w:eastAsia="仿宋_GB2312"/>
        </w:rPr>
        <w:t xml:space="preserve"> 2.    根据采购人特点规划采购人的备份频率、保留策略；</w:t>
      </w:r>
      <w:r>
        <w:br/>
      </w:r>
      <w:r>
        <w:rPr>
          <w:rFonts w:ascii="仿宋_GB2312" w:hAnsi="仿宋_GB2312" w:cs="仿宋_GB2312" w:eastAsia="仿宋_GB2312"/>
        </w:rPr>
        <w:t xml:space="preserve"> 3.    根据采购人现场资源搭建备份环境、实施并检查备份数据的有效性；</w:t>
      </w:r>
      <w:r>
        <w:br/>
      </w:r>
      <w:r>
        <w:rPr>
          <w:rFonts w:ascii="仿宋_GB2312" w:hAnsi="仿宋_GB2312" w:cs="仿宋_GB2312" w:eastAsia="仿宋_GB2312"/>
        </w:rPr>
        <w:t xml:space="preserve"> 4.    实施备份数据的恢复演练与测试，确保数据的可恢复性；</w:t>
      </w:r>
      <w:r>
        <w:br/>
      </w:r>
      <w:r>
        <w:rPr>
          <w:rFonts w:ascii="仿宋_GB2312" w:hAnsi="仿宋_GB2312" w:cs="仿宋_GB2312" w:eastAsia="仿宋_GB2312"/>
        </w:rPr>
        <w:t xml:space="preserve"> 5.    如采购人发生雄崩溃或数据丢失情况，实施恢复，并提交相关报告和文档。</w:t>
      </w:r>
      <w:r>
        <w:br/>
      </w:r>
      <w:r>
        <w:rPr>
          <w:rFonts w:ascii="仿宋_GB2312" w:hAnsi="仿宋_GB2312" w:cs="仿宋_GB2312" w:eastAsia="仿宋_GB2312"/>
        </w:rPr>
        <w:t xml:space="preserve"> (七)    云平台的安全</w:t>
      </w:r>
      <w:r>
        <w:br/>
      </w:r>
      <w:r>
        <w:rPr>
          <w:rFonts w:ascii="仿宋_GB2312" w:hAnsi="仿宋_GB2312" w:cs="仿宋_GB2312" w:eastAsia="仿宋_GB2312"/>
        </w:rPr>
        <w:t xml:space="preserve"> 在全面系统巡检中，分析潜在缺陷和隐患，识别破坏性的后门程序，提供安全分析报告，完成安全整改、增打补丁、集群配置等，并保证实施过程中的数据安全。</w:t>
      </w:r>
      <w:r>
        <w:br/>
      </w:r>
      <w:r>
        <w:rPr>
          <w:rFonts w:ascii="仿宋_GB2312" w:hAnsi="仿宋_GB2312" w:cs="仿宋_GB2312" w:eastAsia="仿宋_GB2312"/>
        </w:rPr>
        <w:t xml:space="preserve"> 1.    根据采购人需要和系统实际情况，实施版本和补丁升级。分析补丁的可用性及风险；制定升级计划及应急回退计划；做好各项系统备份准备；安装升级包；测试软件，保证软件的可用性；协助测试应用软件，检测系统的有效性；如升级失败，须做系统回退。</w:t>
      </w:r>
      <w:r>
        <w:br/>
      </w:r>
      <w:r>
        <w:rPr>
          <w:rFonts w:ascii="仿宋_GB2312" w:hAnsi="仿宋_GB2312" w:cs="仿宋_GB2312" w:eastAsia="仿宋_GB2312"/>
        </w:rPr>
        <w:t xml:space="preserve"> 2.    根据采购人系统实际情况，提出关于云平台安全的相关建议。</w:t>
      </w:r>
      <w:r>
        <w:br/>
      </w:r>
      <w:r>
        <w:rPr>
          <w:rFonts w:ascii="仿宋_GB2312" w:hAnsi="仿宋_GB2312" w:cs="仿宋_GB2312" w:eastAsia="仿宋_GB2312"/>
        </w:rPr>
        <w:t xml:space="preserve"> 3.    根据采购人需要，对云平台进行规划、安装、配置、调整、测试、迁移等。</w:t>
      </w:r>
      <w:r>
        <w:br/>
      </w:r>
      <w:r>
        <w:rPr>
          <w:rFonts w:ascii="仿宋_GB2312" w:hAnsi="仿宋_GB2312" w:cs="仿宋_GB2312" w:eastAsia="仿宋_GB2312"/>
        </w:rPr>
        <w:t xml:space="preserve"> (八)    IT综合运维和管理平台服务</w:t>
      </w:r>
      <w:r>
        <w:br/>
      </w:r>
      <w:r>
        <w:rPr>
          <w:rFonts w:ascii="仿宋_GB2312" w:hAnsi="仿宋_GB2312" w:cs="仿宋_GB2312" w:eastAsia="仿宋_GB2312"/>
        </w:rPr>
        <w:t xml:space="preserve"> 根据采购人需要和系统实际情况，对IT综合运维和管理平台实施故障调试修复、版本和补丁升级等维保服务及系统技术支持。</w:t>
      </w:r>
      <w:r>
        <w:br/>
      </w:r>
      <w:r>
        <w:rPr>
          <w:rFonts w:ascii="仿宋_GB2312" w:hAnsi="仿宋_GB2312" w:cs="仿宋_GB2312" w:eastAsia="仿宋_GB2312"/>
        </w:rPr>
        <w:t xml:space="preserve"> (九)    值守</w:t>
      </w:r>
      <w:r>
        <w:br/>
      </w:r>
      <w:r>
        <w:rPr>
          <w:rFonts w:ascii="仿宋_GB2312" w:hAnsi="仿宋_GB2312" w:cs="仿宋_GB2312" w:eastAsia="仿宋_GB2312"/>
        </w:rPr>
        <w:t xml:space="preserve"> 1.    在法定节假日，提前向采购人提供值班工程师名单、当值地点及联系电话。保障实时响应采购人的故障呼叫，需要时及时赶到现场。</w:t>
      </w:r>
      <w:r>
        <w:br/>
      </w:r>
      <w:r>
        <w:rPr>
          <w:rFonts w:ascii="仿宋_GB2312" w:hAnsi="仿宋_GB2312" w:cs="仿宋_GB2312" w:eastAsia="仿宋_GB2312"/>
        </w:rPr>
        <w:t xml:space="preserve"> 2.    采购人发生重大事件时，包括采购人系统运行环境需要发生改变或重大停机切换、或其它任何可能对业务系统产生重大影响的时刻，投标人在接到采购人通知后，投标人按具体需要，实施相关系统的备份、迁移，并委派至少一名以上工程师进行全程现场值守，以保障系统的有效性和安全性。</w:t>
      </w:r>
      <w:r>
        <w:br/>
      </w:r>
      <w:r>
        <w:rPr>
          <w:rFonts w:ascii="仿宋_GB2312" w:hAnsi="仿宋_GB2312" w:cs="仿宋_GB2312" w:eastAsia="仿宋_GB2312"/>
        </w:rPr>
        <w:t xml:space="preserve"> (十)    培训</w:t>
      </w:r>
      <w:r>
        <w:br/>
      </w:r>
      <w:r>
        <w:rPr>
          <w:rFonts w:ascii="仿宋_GB2312" w:hAnsi="仿宋_GB2312" w:cs="仿宋_GB2312" w:eastAsia="仿宋_GB2312"/>
        </w:rPr>
        <w:t xml:space="preserve"> 投标人根据采购人需求，为采购人提供培训师资（培训时长不超过一星期）。培训需有明确的培训实施计划和明确培训时间、学时、培训大纲、培训对象等内容，提供完善的培训教材，包括纸面的或电子的。（相关费用均含在投标报价中）</w:t>
      </w:r>
      <w:r>
        <w:br/>
      </w:r>
      <w:r>
        <w:rPr>
          <w:rFonts w:ascii="仿宋_GB2312" w:hAnsi="仿宋_GB2312" w:cs="仿宋_GB2312" w:eastAsia="仿宋_GB2312"/>
        </w:rPr>
        <w:t xml:space="preserve"> 四、其他服务要求</w:t>
      </w:r>
      <w:r>
        <w:br/>
      </w:r>
      <w:r>
        <w:rPr>
          <w:rFonts w:ascii="仿宋_GB2312" w:hAnsi="仿宋_GB2312" w:cs="仿宋_GB2312" w:eastAsia="仿宋_GB2312"/>
        </w:rPr>
        <w:t xml:space="preserve"> (一)    维保服务队伍管理</w:t>
      </w:r>
      <w:r>
        <w:br/>
      </w:r>
      <w:r>
        <w:rPr>
          <w:rFonts w:ascii="仿宋_GB2312" w:hAnsi="仿宋_GB2312" w:cs="仿宋_GB2312" w:eastAsia="仿宋_GB2312"/>
        </w:rPr>
        <w:t xml:space="preserve"> 1    投标人应具有较强的服务响应能力，配有较强的专业技术队伍，具有设备和产品列表中品牌的运维相关的认证工程师，提供快速的售后服务响应。</w:t>
      </w:r>
      <w:r>
        <w:br/>
      </w:r>
      <w:r>
        <w:rPr>
          <w:rFonts w:ascii="仿宋_GB2312" w:hAnsi="仿宋_GB2312" w:cs="仿宋_GB2312" w:eastAsia="仿宋_GB2312"/>
        </w:rPr>
        <w:t xml:space="preserve"> 2    投标人应详细列明服务于本项目的各类分支机构、办事处及服务网点的具体地址、人员信息和联系方式。</w:t>
      </w:r>
      <w:r>
        <w:br/>
      </w:r>
      <w:r>
        <w:rPr>
          <w:rFonts w:ascii="仿宋_GB2312" w:hAnsi="仿宋_GB2312" w:cs="仿宋_GB2312" w:eastAsia="仿宋_GB2312"/>
        </w:rPr>
        <w:t xml:space="preserve"> 3    投标人应提供该维保项目技术服务队伍有关服务人员的名单、专业资历、擅长技术、职责安排、技术资质证明及在投标单位购买社保或缴纳个人所得税的证明文件等资料。</w:t>
      </w:r>
      <w:r>
        <w:br/>
      </w:r>
      <w:r>
        <w:rPr>
          <w:rFonts w:ascii="仿宋_GB2312" w:hAnsi="仿宋_GB2312" w:cs="仿宋_GB2312" w:eastAsia="仿宋_GB2312"/>
        </w:rPr>
        <w:t xml:space="preserve"> 4    投标人不得随意更换本项目技术服务队伍人员，如确需更换，相关的调配人员应经采购人批准。</w:t>
      </w:r>
      <w:r>
        <w:br/>
      </w:r>
      <w:r>
        <w:rPr>
          <w:rFonts w:ascii="仿宋_GB2312" w:hAnsi="仿宋_GB2312" w:cs="仿宋_GB2312" w:eastAsia="仿宋_GB2312"/>
        </w:rPr>
        <w:t xml:space="preserve"> 5    为本项目建立采购人档案，编制系统维护计划，专责在合同年度对采购人本标书内容进行项目管理和汇报工作。</w:t>
      </w:r>
      <w:r>
        <w:br/>
      </w:r>
      <w:r>
        <w:rPr>
          <w:rFonts w:ascii="仿宋_GB2312" w:hAnsi="仿宋_GB2312" w:cs="仿宋_GB2312" w:eastAsia="仿宋_GB2312"/>
        </w:rPr>
        <w:t xml:space="preserve"> 6    投标人服务人员自备服务维护工具。</w:t>
      </w:r>
      <w:r>
        <w:br/>
      </w:r>
      <w:r>
        <w:rPr>
          <w:rFonts w:ascii="仿宋_GB2312" w:hAnsi="仿宋_GB2312" w:cs="仿宋_GB2312" w:eastAsia="仿宋_GB2312"/>
        </w:rPr>
        <w:t xml:space="preserve"> 7    投标人及其服务人员应严格遵守有关法律法规和采购人内部规章制度，不得擅自翻阅、复制、传播所接触的资料或数据。</w:t>
      </w:r>
      <w:r>
        <w:br/>
      </w:r>
      <w:r>
        <w:rPr>
          <w:rFonts w:ascii="仿宋_GB2312" w:hAnsi="仿宋_GB2312" w:cs="仿宋_GB2312" w:eastAsia="仿宋_GB2312"/>
        </w:rPr>
        <w:t xml:space="preserve"> 8    投标人负责约束有关员工的保密工作，不得私自拷贝、盗取、泄露采购人数据。</w:t>
      </w:r>
      <w:r>
        <w:br/>
      </w:r>
      <w:r>
        <w:rPr>
          <w:rFonts w:ascii="仿宋_GB2312" w:hAnsi="仿宋_GB2312" w:cs="仿宋_GB2312" w:eastAsia="仿宋_GB2312"/>
        </w:rPr>
        <w:t xml:space="preserve"> (二)    服务管理</w:t>
      </w:r>
      <w:r>
        <w:br/>
      </w:r>
      <w:r>
        <w:rPr>
          <w:rFonts w:ascii="仿宋_GB2312" w:hAnsi="仿宋_GB2312" w:cs="仿宋_GB2312" w:eastAsia="仿宋_GB2312"/>
        </w:rPr>
        <w:t xml:space="preserve"> 投标人应配合采购人，根据当前的系统的运行状况以及实际管理需要，建立并健全系统运维的操作管理规范。</w:t>
      </w:r>
      <w:r>
        <w:br/>
      </w:r>
      <w:r>
        <w:rPr>
          <w:rFonts w:ascii="仿宋_GB2312" w:hAnsi="仿宋_GB2312" w:cs="仿宋_GB2312" w:eastAsia="仿宋_GB2312"/>
        </w:rPr>
        <w:t xml:space="preserve"> 投标人需制定全年的维保服务支持方案，周全考虑采购人可能遇到的各种紧急情况，作为出现应急情况时候的维护参照指南。</w:t>
      </w:r>
      <w:r>
        <w:br/>
      </w:r>
      <w:r>
        <w:rPr>
          <w:rFonts w:ascii="仿宋_GB2312" w:hAnsi="仿宋_GB2312" w:cs="仿宋_GB2312" w:eastAsia="仿宋_GB2312"/>
        </w:rPr>
        <w:t xml:space="preserve"> (三)    惩罚制度</w:t>
      </w:r>
      <w:r>
        <w:br/>
      </w:r>
      <w:r>
        <w:rPr>
          <w:rFonts w:ascii="仿宋_GB2312" w:hAnsi="仿宋_GB2312" w:cs="仿宋_GB2312" w:eastAsia="仿宋_GB2312"/>
        </w:rPr>
        <w:t xml:space="preserve"> 投标人严重违反其服务承诺的，或因误操作造成重大故障的，或违反项目需求书相关保密条款、采购人内部规章制度的，或违反相关法律法规的，采购人有权解除维护服务合同，要求投标人按尚未服务时间退回服务费。</w:t>
      </w:r>
      <w:r>
        <w:br/>
      </w:r>
      <w:r>
        <w:rPr>
          <w:rFonts w:ascii="仿宋_GB2312" w:hAnsi="仿宋_GB2312" w:cs="仿宋_GB2312" w:eastAsia="仿宋_GB2312"/>
        </w:rPr>
        <w:t xml:space="preserve"> 对投标人蓄意破坏采购人系统设施的，或泄密事件的，一经查证，采购人可即时解除合同，更改维护单位，将案件移送司法机关，投标人须退还服务费并赔偿采购人的损失。</w:t>
      </w:r>
      <w:r>
        <w:br/>
      </w:r>
      <w:r>
        <w:rPr>
          <w:rFonts w:ascii="仿宋_GB2312" w:hAnsi="仿宋_GB2312" w:cs="仿宋_GB2312" w:eastAsia="仿宋_GB2312"/>
        </w:rPr>
        <w:t xml:space="preserve"> 五、服务时间</w:t>
      </w:r>
      <w:r>
        <w:br/>
      </w:r>
      <w:r>
        <w:rPr>
          <w:rFonts w:ascii="仿宋_GB2312" w:hAnsi="仿宋_GB2312" w:cs="仿宋_GB2312" w:eastAsia="仿宋_GB2312"/>
        </w:rPr>
        <w:t xml:space="preserve"> 服务时间：12个月。</w:t>
      </w:r>
      <w:r>
        <w:br/>
      </w:r>
      <w:r>
        <w:rPr>
          <w:rFonts w:ascii="仿宋_GB2312" w:hAnsi="仿宋_GB2312" w:cs="仿宋_GB2312" w:eastAsia="仿宋_GB2312"/>
        </w:rPr>
        <w:t xml:space="preserve"> 六、付款方式</w:t>
      </w:r>
      <w:r>
        <w:br/>
      </w:r>
      <w:r>
        <w:rPr>
          <w:rFonts w:ascii="仿宋_GB2312" w:hAnsi="仿宋_GB2312" w:cs="仿宋_GB2312" w:eastAsia="仿宋_GB2312"/>
        </w:rPr>
        <w:t xml:space="preserve"> 合同款项按下列步骤分两期支付：</w:t>
      </w:r>
      <w:r>
        <w:br/>
      </w:r>
      <w:r>
        <w:rPr>
          <w:rFonts w:ascii="仿宋_GB2312" w:hAnsi="仿宋_GB2312" w:cs="仿宋_GB2312" w:eastAsia="仿宋_GB2312"/>
        </w:rPr>
        <w:t xml:space="preserve"> 第一次付款：在签订合同后，采购人在收到发票后10个工作日内，支付合同金额的50%。</w:t>
      </w:r>
      <w:r>
        <w:br/>
      </w:r>
      <w:r>
        <w:rPr>
          <w:rFonts w:ascii="仿宋_GB2312" w:hAnsi="仿宋_GB2312" w:cs="仿宋_GB2312" w:eastAsia="仿宋_GB2312"/>
        </w:rPr>
        <w:t xml:space="preserve"> 第二次付款：项目验收通过并在收到发票后10个工作日内，采购人支付合同金额的50%。</w:t>
      </w:r>
      <w:r>
        <w:br/>
      </w:r>
      <w:r>
        <w:rPr>
          <w:rFonts w:ascii="仿宋_GB2312" w:hAnsi="仿宋_GB2312" w:cs="仿宋_GB2312" w:eastAsia="仿宋_GB2312"/>
        </w:rPr>
        <w:t xml:space="preserve"> 七、验收要求</w:t>
      </w:r>
      <w:r>
        <w:br/>
      </w:r>
      <w:r>
        <w:rPr>
          <w:rFonts w:ascii="仿宋_GB2312" w:hAnsi="仿宋_GB2312" w:cs="仿宋_GB2312" w:eastAsia="仿宋_GB2312"/>
        </w:rPr>
        <w:t xml:space="preserve"> 中标人应接受采购人的监督，听取合理的意见和建议，按采购人的工作要求、工作程序，有步骤的开展项目。在合同有效期满后的30个工作日内，采购人就中标人提供服务进行验收，验收标准为中标人是否按合同规定的服务内容和服务标准提供服务。验收合格后，双方签订验收报告，作为付款依据。未通过验收的，采购人有权要求中标人及时重新维护、调试并及时提交采购人验收。 </w:t>
      </w:r>
      <w:r>
        <w:br/>
      </w:r>
      <w:r>
        <w:rPr>
          <w:rFonts w:ascii="仿宋_GB2312" w:hAnsi="仿宋_GB2312" w:cs="仿宋_GB2312" w:eastAsia="仿宋_GB2312"/>
        </w:rPr>
        <w:t xml:space="preserve"> 八、其他要求</w:t>
      </w:r>
      <w:r>
        <w:br/>
      </w:r>
      <w:r>
        <w:rPr>
          <w:rFonts w:ascii="仿宋_GB2312" w:hAnsi="仿宋_GB2312" w:cs="仿宋_GB2312" w:eastAsia="仿宋_GB2312"/>
        </w:rPr>
        <w:t xml:space="preserve"> 1.采购人、中标人均不得向第三方泄露本项目内容及在本项目履行过程中获得的另一方的商业秘密及知识产权。</w:t>
      </w:r>
      <w:r>
        <w:br/>
      </w:r>
      <w:r>
        <w:rPr>
          <w:rFonts w:ascii="仿宋_GB2312" w:hAnsi="仿宋_GB2312" w:cs="仿宋_GB2312" w:eastAsia="仿宋_GB2312"/>
        </w:rPr>
        <w:t xml:space="preserve"> 2.中标人应对在项目实施过程中接触到的采购人所有系统信息、工作资料等进行保密，不得以任何形式复制、带走或提供给任何其他个人或团体。中标人如违反本保密约定，采购人有权追究中标人的相关法律责任。</w:t>
      </w:r>
      <w:r>
        <w:br/>
      </w:r>
      <w:r>
        <w:rPr>
          <w:rFonts w:ascii="仿宋_GB2312" w:hAnsi="仿宋_GB2312" w:cs="仿宋_GB2312" w:eastAsia="仿宋_GB2312"/>
        </w:rPr>
        <w:t xml:space="preserve"> 九、知识产权 </w:t>
      </w:r>
      <w:r>
        <w:br/>
      </w:r>
      <w:r>
        <w:rPr>
          <w:rFonts w:ascii="仿宋_GB2312" w:hAnsi="仿宋_GB2312" w:cs="仿宋_GB2312" w:eastAsia="仿宋_GB2312"/>
        </w:rPr>
        <w:t xml:space="preserve"> 1)    中标人在服务过程中产生的所有技术资料、提交件及其他类别的知识产权归采购人所有。</w:t>
      </w:r>
      <w:r>
        <w:br/>
      </w:r>
      <w:r>
        <w:rPr>
          <w:rFonts w:ascii="仿宋_GB2312" w:hAnsi="仿宋_GB2312" w:cs="仿宋_GB2312" w:eastAsia="仿宋_GB2312"/>
        </w:rPr>
        <w:t xml:space="preserve"> 中标人交付给采购人的成果不得侵犯第三方的合法权益。如果采购人因使用本项目成果或其中一部分而被第三方起诉侵犯其专利权、商标权或其它知识产权，中标人将依法承担相应的法律责任。</w:t>
      </w:r>
      <w:r>
        <w:br/>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1"/>
        </w:rPr>
        <w:t>政府采购监督管理机构名称：国家财政部国库司政府采购监督裁决处</w:t>
      </w:r>
    </w:p>
    <w:p>
      <w:pPr>
        <w:pStyle w:val="null3"/>
        <w:ind w:firstLine="480"/>
        <w:jc w:val="both"/>
      </w:pPr>
      <w:r>
        <w:rPr>
          <w:rFonts w:ascii="仿宋_GB2312" w:hAnsi="仿宋_GB2312" w:cs="仿宋_GB2312" w:eastAsia="仿宋_GB2312"/>
          <w:sz w:val="21"/>
        </w:rPr>
        <w:t>地  址：北京市西城区月坛北小街13号中船宾馆北楼四层8401室、8403室</w:t>
      </w:r>
    </w:p>
    <w:p>
      <w:pPr>
        <w:pStyle w:val="null3"/>
        <w:ind w:firstLine="480"/>
        <w:jc w:val="both"/>
      </w:pPr>
      <w:r>
        <w:rPr>
          <w:rFonts w:ascii="仿宋_GB2312" w:hAnsi="仿宋_GB2312" w:cs="仿宋_GB2312" w:eastAsia="仿宋_GB2312"/>
          <w:sz w:val="21"/>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维保服务方案</w:t>
            </w:r>
          </w:p>
        </w:tc>
        <w:tc>
          <w:tcPr>
            <w:tcW w:type="dxa" w:w="4614"/>
          </w:tcPr>
          <w:p>
            <w:pPr>
              <w:pStyle w:val="null3"/>
              <w:jc w:val="left"/>
            </w:pPr>
            <w:r>
              <w:rPr>
                <w:rFonts w:ascii="仿宋_GB2312" w:hAnsi="仿宋_GB2312" w:cs="仿宋_GB2312" w:eastAsia="仿宋_GB2312"/>
              </w:rPr>
              <w:t>根据各投标人针对本项目所制定的维保服务方案进行评分，最高得18分： 维保服务方案完全满足并优于采购需求，得18分； 维保服务方案完全满足采购需求，得12分； 维保服务方案不能完全满足采购需求，得6分； 未提供，得0分。</w:t>
            </w:r>
          </w:p>
        </w:tc>
        <w:tc>
          <w:tcPr>
            <w:tcW w:type="dxa" w:w="923"/>
          </w:tcPr>
          <w:p>
            <w:pPr>
              <w:pStyle w:val="null3"/>
              <w:jc w:val="right"/>
            </w:pPr>
            <w:r>
              <w:rPr>
                <w:rFonts w:ascii="仿宋_GB2312" w:hAnsi="仿宋_GB2312" w:cs="仿宋_GB2312" w:eastAsia="仿宋_GB2312"/>
              </w:rPr>
              <w:t>18.00</w:t>
            </w:r>
          </w:p>
        </w:tc>
      </w:tr>
      <w:tr>
        <w:tc>
          <w:tcPr>
            <w:tcW w:type="dxa" w:w="923"/>
            <w:vMerge/>
          </w:tcPr>
          <w:p/>
        </w:tc>
        <w:tc>
          <w:tcPr>
            <w:tcW w:type="dxa" w:w="1846"/>
          </w:tcPr>
          <w:p>
            <w:pPr>
              <w:pStyle w:val="null3"/>
              <w:jc w:val="left"/>
            </w:pPr>
            <w:r>
              <w:rPr>
                <w:rFonts w:ascii="仿宋_GB2312" w:hAnsi="仿宋_GB2312" w:cs="仿宋_GB2312" w:eastAsia="仿宋_GB2312"/>
              </w:rPr>
              <w:t>服务团队技术支持水平1</w:t>
            </w:r>
          </w:p>
        </w:tc>
        <w:tc>
          <w:tcPr>
            <w:tcW w:type="dxa" w:w="4614"/>
          </w:tcPr>
          <w:p>
            <w:pPr>
              <w:pStyle w:val="null3"/>
              <w:jc w:val="left"/>
            </w:pPr>
            <w:r>
              <w:rPr>
                <w:rFonts w:ascii="仿宋_GB2312" w:hAnsi="仿宋_GB2312" w:cs="仿宋_GB2312" w:eastAsia="仿宋_GB2312"/>
              </w:rPr>
              <w:t>投标人配备有设备和产品列表中品牌的运维相关的认证工程师（不包含HCNP或以上、HCIE、CATE、VCP），每提供1个工程师证明材料复印件及2024年7月以来任意一个月在投标人单位缴交社保（至少须含养老保险）的含社保部门盖章的凭证复印件，得2分，最高得10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服务团队技术支持水平2</w:t>
            </w:r>
          </w:p>
        </w:tc>
        <w:tc>
          <w:tcPr>
            <w:tcW w:type="dxa" w:w="4614"/>
          </w:tcPr>
          <w:p>
            <w:pPr>
              <w:pStyle w:val="null3"/>
              <w:jc w:val="left"/>
            </w:pPr>
            <w:r>
              <w:rPr>
                <w:rFonts w:ascii="仿宋_GB2312" w:hAnsi="仿宋_GB2312" w:cs="仿宋_GB2312" w:eastAsia="仿宋_GB2312"/>
              </w:rPr>
              <w:t>服务团队的项目成员除项目经理外，具有注册信息安全专业人员（CISP）证书或信息安全保障人员认证（CISAW）证书或信息安全工程师证书之一，每提供1个项目成员的证书复印件及2024年7月以来任意一个月在投标人单位缴交社保（至少须含养老保险）的含社保部门盖章的凭证复印件得4分，最高得8分。（同一人具有多项证书仅计一次）</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云平台驻场服务要求</w:t>
            </w:r>
          </w:p>
        </w:tc>
        <w:tc>
          <w:tcPr>
            <w:tcW w:type="dxa" w:w="4614"/>
          </w:tcPr>
          <w:p>
            <w:pPr>
              <w:pStyle w:val="null3"/>
              <w:jc w:val="left"/>
            </w:pPr>
            <w:r>
              <w:rPr>
                <w:rFonts w:ascii="仿宋_GB2312" w:hAnsi="仿宋_GB2312" w:cs="仿宋_GB2312" w:eastAsia="仿宋_GB2312"/>
              </w:rPr>
              <w:t>1) 云平台驻场工程师具备HCNP或以上认证，得5分； 本项最高得5分，无证明材料不得分；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云平台二线支持服务要求</w:t>
            </w:r>
          </w:p>
        </w:tc>
        <w:tc>
          <w:tcPr>
            <w:tcW w:type="dxa" w:w="4614"/>
          </w:tcPr>
          <w:p>
            <w:pPr>
              <w:pStyle w:val="null3"/>
              <w:jc w:val="left"/>
            </w:pPr>
            <w:r>
              <w:rPr>
                <w:rFonts w:ascii="仿宋_GB2312" w:hAnsi="仿宋_GB2312" w:cs="仿宋_GB2312" w:eastAsia="仿宋_GB2312"/>
              </w:rPr>
              <w:t>云平台工程师二线技术支持： 1) 系统工程师至少1名（具备CATE认证），1名得4分；最多4分； 2) 网络工程师至少1名(具备HCIE-R&amp;S认证)，1名得4分，；最多4分； 3) 存储工程师至少1名(具备HCIE-Storage认证)，1名得4分；最多4分； 4) 云计算工程师至少1名(具备HCIE-Cloud认证)，1名得4分；最多4分； 5) VMWARE工程师至少1名(具备VCP认证)，1名得4分；最多4分。 6) 操作系统工程师至少1名（具备麒麟操作系统运维高级工程师认证），1名得4分；最多4分； 须提供证明材料，无证明材料不得分。</w:t>
            </w:r>
          </w:p>
        </w:tc>
        <w:tc>
          <w:tcPr>
            <w:tcW w:type="dxa" w:w="923"/>
          </w:tcPr>
          <w:p>
            <w:pPr>
              <w:pStyle w:val="null3"/>
              <w:jc w:val="right"/>
            </w:pPr>
            <w:r>
              <w:rPr>
                <w:rFonts w:ascii="仿宋_GB2312" w:hAnsi="仿宋_GB2312" w:cs="仿宋_GB2312" w:eastAsia="仿宋_GB2312"/>
              </w:rPr>
              <w:t>24.00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相关项目服务经验</w:t>
            </w:r>
          </w:p>
        </w:tc>
        <w:tc>
          <w:tcPr>
            <w:tcW w:type="dxa" w:w="4614"/>
          </w:tcPr>
          <w:p>
            <w:pPr>
              <w:pStyle w:val="null3"/>
              <w:jc w:val="left"/>
            </w:pPr>
            <w:r>
              <w:rPr>
                <w:rFonts w:ascii="仿宋_GB2312" w:hAnsi="仿宋_GB2312" w:cs="仿宋_GB2312" w:eastAsia="仿宋_GB2312"/>
              </w:rPr>
              <w:t>2021年1月1日以来，投标人具有软硬件平台运行维护项目经验，每个得1分，最高5分。提供项目合同关键页（具有项目名称、签订时间和双方签字盖章的页面）或验收报告复印件。</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体系认证</w:t>
            </w:r>
          </w:p>
        </w:tc>
        <w:tc>
          <w:tcPr>
            <w:tcW w:type="dxa" w:w="4614"/>
          </w:tcPr>
          <w:p>
            <w:pPr>
              <w:pStyle w:val="null3"/>
              <w:jc w:val="left"/>
            </w:pPr>
            <w:r>
              <w:rPr>
                <w:rFonts w:ascii="仿宋_GB2312" w:hAnsi="仿宋_GB2312" w:cs="仿宋_GB2312" w:eastAsia="仿宋_GB2312"/>
              </w:rPr>
              <w:t>投标人具有IS09001质量 管理体系认证（信息技术类），每提供1个认证证书，得5分，共计5分。提供认证证书复印件并须同时提供在全国认证认可信息公共服务平台对体系证书的信息查询截图作为评审依据，已暂停、失效或撤销的不得分。新设立企业成立时间不足3个月的，得5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项目经理资质</w:t>
            </w:r>
          </w:p>
        </w:tc>
        <w:tc>
          <w:tcPr>
            <w:tcW w:type="dxa" w:w="4614"/>
          </w:tcPr>
          <w:p>
            <w:pPr>
              <w:pStyle w:val="null3"/>
              <w:jc w:val="left"/>
            </w:pPr>
            <w:r>
              <w:rPr>
                <w:rFonts w:ascii="仿宋_GB2312" w:hAnsi="仿宋_GB2312" w:cs="仿宋_GB2312" w:eastAsia="仿宋_GB2312"/>
              </w:rPr>
              <w:t>投标人项目经理每具备以下1项得5分（需提供2024年7月以来任意一个月在投标人单位缴交社保（至少须含养老保险）的含社保部门盖章的凭证复印件），最高得15分。 1) 具有信息系统项目管理师证书； 2) 具有注册信息安全专业人员（CISP）证书或信息安全保障人员认证（CISAW）证书或信息安全工程师证书之一； 3) 具有 Redhat Enterprise Linux 工程师认证；</w:t>
            </w:r>
          </w:p>
        </w:tc>
        <w:tc>
          <w:tcPr>
            <w:tcW w:type="dxa" w:w="923"/>
          </w:tcPr>
          <w:p>
            <w:pPr>
              <w:pStyle w:val="null3"/>
              <w:jc w:val="right"/>
            </w:pPr>
            <w:r>
              <w:rPr>
                <w:rFonts w:ascii="仿宋_GB2312" w:hAnsi="仿宋_GB2312" w:cs="仿宋_GB2312" w:eastAsia="仿宋_GB2312"/>
              </w:rPr>
              <w:t>15.00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rPr>
        <w:t>合同编号：</w:t>
      </w:r>
    </w:p>
    <w:p>
      <w:pPr>
        <w:pStyle w:val="null3"/>
        <w:jc w:val="center"/>
      </w:pPr>
      <w:r>
        <w:rPr>
          <w:rFonts w:ascii="仿宋_GB2312" w:hAnsi="仿宋_GB2312" w:cs="仿宋_GB2312" w:eastAsia="仿宋_GB2312"/>
          <w:sz w:val="70"/>
          <w:b/>
        </w:rPr>
        <w:t>政府采购合同</w:t>
      </w:r>
    </w:p>
    <w:p>
      <w:pPr>
        <w:pStyle w:val="null3"/>
        <w:jc w:val="center"/>
      </w:pPr>
      <w:r>
        <w:rPr>
          <w:rFonts w:ascii="仿宋_GB2312" w:hAnsi="仿宋_GB2312" w:cs="仿宋_GB2312" w:eastAsia="仿宋_GB2312"/>
          <w:sz w:val="44"/>
          <w:b/>
        </w:rPr>
        <w:t>（本合同为中小企业预留合同）</w:t>
      </w:r>
    </w:p>
    <w:p>
      <w:pPr>
        <w:pStyle w:val="null3"/>
        <w:jc w:val="center"/>
      </w:pPr>
      <w:r>
        <w:rPr>
          <w:rFonts w:ascii="仿宋_GB2312" w:hAnsi="仿宋_GB2312" w:cs="仿宋_GB2312" w:eastAsia="仿宋_GB2312"/>
          <w:sz w:val="32"/>
          <w:b/>
        </w:rPr>
        <w:t>项目名称：国家税务总局广州市税务局</w:t>
      </w:r>
    </w:p>
    <w:p>
      <w:pPr>
        <w:pStyle w:val="null3"/>
        <w:ind w:firstLine="2885"/>
        <w:jc w:val="both"/>
      </w:pPr>
      <w:r>
        <w:rPr>
          <w:rFonts w:ascii="仿宋_GB2312" w:hAnsi="仿宋_GB2312" w:cs="仿宋_GB2312" w:eastAsia="仿宋_GB2312"/>
          <w:sz w:val="32"/>
          <w:b/>
        </w:rPr>
        <w:t>云平台及服务器运维服务项目</w:t>
      </w:r>
    </w:p>
    <w:p>
      <w:pPr>
        <w:pStyle w:val="null3"/>
        <w:ind w:firstLine="1285"/>
        <w:jc w:val="both"/>
      </w:pPr>
      <w:r>
        <w:rPr>
          <w:rFonts w:ascii="仿宋_GB2312" w:hAnsi="仿宋_GB2312" w:cs="仿宋_GB2312" w:eastAsia="仿宋_GB2312"/>
          <w:sz w:val="32"/>
          <w:b/>
        </w:rPr>
        <w:t>项目编号：</w:t>
      </w:r>
    </w:p>
    <w:p>
      <w:pPr>
        <w:pStyle w:val="null3"/>
        <w:ind w:firstLine="1285"/>
        <w:jc w:val="both"/>
      </w:pPr>
      <w:r>
        <w:rPr>
          <w:rFonts w:ascii="仿宋_GB2312" w:hAnsi="仿宋_GB2312" w:cs="仿宋_GB2312" w:eastAsia="仿宋_GB2312"/>
          <w:sz w:val="32"/>
          <w:b/>
        </w:rPr>
        <w:t>采购编号：</w:t>
      </w:r>
      <w:r>
        <w:rPr>
          <w:rFonts w:ascii="仿宋_GB2312" w:hAnsi="仿宋_GB2312" w:cs="仿宋_GB2312" w:eastAsia="仿宋_GB2312"/>
          <w:sz w:val="32"/>
          <w:b/>
        </w:rPr>
        <w:t>GPCGD24C500FG153F</w:t>
      </w:r>
    </w:p>
    <w:p>
      <w:pPr>
        <w:pStyle w:val="null3"/>
        <w:ind w:left="-435" w:firstLine="1767"/>
        <w:jc w:val="both"/>
      </w:pPr>
      <w:r>
        <w:rPr>
          <w:rFonts w:ascii="仿宋_GB2312" w:hAnsi="仿宋_GB2312" w:cs="仿宋_GB2312" w:eastAsia="仿宋_GB2312"/>
          <w:sz w:val="32"/>
          <w:b/>
        </w:rPr>
        <w:t>甲方：</w:t>
      </w:r>
      <w:r>
        <w:rPr>
          <w:rFonts w:ascii="仿宋_GB2312" w:hAnsi="仿宋_GB2312" w:cs="仿宋_GB2312" w:eastAsia="仿宋_GB2312"/>
          <w:sz w:val="32"/>
          <w:b/>
          <w:u w:val="single"/>
        </w:rPr>
        <w:t>国家税务总局广州市税务局</w:t>
      </w:r>
    </w:p>
    <w:p>
      <w:pPr>
        <w:pStyle w:val="null3"/>
        <w:ind w:firstLine="1134"/>
        <w:jc w:val="both"/>
      </w:pPr>
      <w:r>
        <w:rPr>
          <w:rFonts w:ascii="仿宋_GB2312" w:hAnsi="仿宋_GB2312" w:cs="仿宋_GB2312" w:eastAsia="仿宋_GB2312"/>
          <w:sz w:val="32"/>
          <w:b/>
        </w:rPr>
        <w:t>乙方：</w:t>
      </w:r>
    </w:p>
    <w:p>
      <w:pPr>
        <w:pStyle w:val="null3"/>
        <w:jc w:val="center"/>
      </w:pPr>
      <w:r>
        <w:rPr>
          <w:rFonts w:ascii="仿宋_GB2312" w:hAnsi="仿宋_GB2312" w:cs="仿宋_GB2312" w:eastAsia="仿宋_GB2312"/>
          <w:sz w:val="32"/>
          <w:b/>
        </w:rPr>
        <w:t>签订时间：</w:t>
      </w:r>
      <w:r>
        <w:rPr>
          <w:rFonts w:ascii="仿宋_GB2312" w:hAnsi="仿宋_GB2312" w:cs="仿宋_GB2312" w:eastAsia="仿宋_GB2312"/>
          <w:sz w:val="32"/>
          <w:b/>
        </w:rPr>
        <w:t>二Ｏ二</w:t>
      </w:r>
      <w:r>
        <w:rPr>
          <w:rFonts w:ascii="仿宋_GB2312" w:hAnsi="仿宋_GB2312" w:cs="仿宋_GB2312" w:eastAsia="仿宋_GB2312"/>
          <w:sz w:val="32"/>
          <w:b/>
        </w:rPr>
        <w:t>__</w:t>
      </w:r>
      <w:r>
        <w:rPr>
          <w:rFonts w:ascii="仿宋_GB2312" w:hAnsi="仿宋_GB2312" w:cs="仿宋_GB2312" w:eastAsia="仿宋_GB2312"/>
          <w:sz w:val="32"/>
          <w:b/>
        </w:rPr>
        <w:t>年</w:t>
      </w:r>
      <w:r>
        <w:rPr>
          <w:rFonts w:ascii="仿宋_GB2312" w:hAnsi="仿宋_GB2312" w:cs="仿宋_GB2312" w:eastAsia="仿宋_GB2312"/>
          <w:sz w:val="32"/>
          <w:b/>
        </w:rPr>
        <w:t>__</w:t>
      </w:r>
      <w:r>
        <w:rPr>
          <w:rFonts w:ascii="仿宋_GB2312" w:hAnsi="仿宋_GB2312" w:cs="仿宋_GB2312" w:eastAsia="仿宋_GB2312"/>
          <w:sz w:val="32"/>
          <w:b/>
        </w:rPr>
        <w:t>月</w:t>
      </w:r>
    </w:p>
    <w:p>
      <w:pPr>
        <w:pStyle w:val="null3"/>
        <w:jc w:val="left"/>
      </w:pPr>
      <w:r>
        <w:rPr>
          <w:rFonts w:ascii="仿宋_GB2312" w:hAnsi="仿宋_GB2312" w:cs="仿宋_GB2312" w:eastAsia="仿宋_GB2312"/>
          <w:sz w:val="24"/>
          <w:b/>
        </w:rPr>
        <w:t>甲　　方：</w:t>
      </w:r>
      <w:r>
        <w:rPr>
          <w:rFonts w:ascii="仿宋_GB2312" w:hAnsi="仿宋_GB2312" w:cs="仿宋_GB2312" w:eastAsia="仿宋_GB2312"/>
          <w:sz w:val="24"/>
          <w:u w:val="single"/>
        </w:rPr>
        <w:t>国家税务总局广州市税务局</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r>
        <w:rPr>
          <w:rFonts w:ascii="仿宋_GB2312" w:hAnsi="仿宋_GB2312" w:cs="仿宋_GB2312" w:eastAsia="仿宋_GB2312"/>
          <w:sz w:val="24"/>
          <w:u w:val="single"/>
        </w:rPr>
        <w:t>广东省广州市天河区华夏路3号</w:t>
      </w:r>
    </w:p>
    <w:p>
      <w:pPr>
        <w:pStyle w:val="null3"/>
        <w:jc w:val="both"/>
      </w:pPr>
      <w:r>
        <w:rPr>
          <w:rFonts w:ascii="仿宋_GB2312" w:hAnsi="仿宋_GB2312" w:cs="仿宋_GB2312" w:eastAsia="仿宋_GB2312"/>
          <w:sz w:val="24"/>
          <w:b/>
        </w:rPr>
        <w:t>乙　　方：</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p>
    <w:p>
      <w:pPr>
        <w:pStyle w:val="null3"/>
        <w:jc w:val="both"/>
      </w:pPr>
      <w:r>
        <w:rPr>
          <w:rFonts w:ascii="仿宋_GB2312" w:hAnsi="仿宋_GB2312" w:cs="仿宋_GB2312" w:eastAsia="仿宋_GB2312"/>
          <w:sz w:val="24"/>
        </w:rPr>
        <w:t>项目名称：</w:t>
      </w:r>
    </w:p>
    <w:p>
      <w:pPr>
        <w:pStyle w:val="null3"/>
        <w:jc w:val="both"/>
      </w:pPr>
      <w:r>
        <w:rPr>
          <w:rFonts w:ascii="仿宋_GB2312" w:hAnsi="仿宋_GB2312" w:cs="仿宋_GB2312" w:eastAsia="仿宋_GB2312"/>
          <w:sz w:val="24"/>
        </w:rPr>
        <w:t>采购编号：</w:t>
      </w:r>
    </w:p>
    <w:p>
      <w:pPr>
        <w:pStyle w:val="null3"/>
        <w:ind w:firstLine="485"/>
        <w:jc w:val="both"/>
      </w:pPr>
      <w:r>
        <w:rPr>
          <w:rFonts w:ascii="仿宋_GB2312" w:hAnsi="仿宋_GB2312" w:cs="仿宋_GB2312" w:eastAsia="仿宋_GB2312"/>
          <w:sz w:val="24"/>
        </w:rPr>
        <w:t>根据的采购结果，按照《中华人民共和国政府采购法》、《中华人民共和国民法典》的规定，</w:t>
      </w:r>
      <w:r>
        <w:rPr>
          <w:rFonts w:ascii="仿宋_GB2312" w:hAnsi="仿宋_GB2312" w:cs="仿宋_GB2312" w:eastAsia="仿宋_GB2312"/>
          <w:sz w:val="24"/>
        </w:rPr>
        <w:t>经双方协商，</w:t>
      </w:r>
      <w:r>
        <w:rPr>
          <w:rFonts w:ascii="仿宋_GB2312" w:hAnsi="仿宋_GB2312" w:cs="仿宋_GB2312" w:eastAsia="仿宋_GB2312"/>
          <w:sz w:val="24"/>
        </w:rPr>
        <w:t>本着平等互利和诚实信用的原则，</w:t>
      </w:r>
      <w:r>
        <w:rPr>
          <w:rFonts w:ascii="仿宋_GB2312" w:hAnsi="仿宋_GB2312" w:cs="仿宋_GB2312" w:eastAsia="仿宋_GB2312"/>
          <w:sz w:val="24"/>
        </w:rPr>
        <w:t>一致同意签订本合同如下。</w:t>
      </w:r>
    </w:p>
    <w:p>
      <w:pPr>
        <w:pStyle w:val="null3"/>
        <w:jc w:val="both"/>
      </w:pPr>
      <w:r>
        <w:rPr>
          <w:rFonts w:ascii="仿宋_GB2312" w:hAnsi="仿宋_GB2312" w:cs="仿宋_GB2312" w:eastAsia="仿宋_GB2312"/>
          <w:sz w:val="24"/>
          <w:b/>
        </w:rPr>
        <w:t>一、合同金额</w:t>
      </w:r>
    </w:p>
    <w:p>
      <w:pPr>
        <w:pStyle w:val="null3"/>
        <w:ind w:firstLine="480"/>
        <w:jc w:val="both"/>
      </w:pPr>
      <w:r>
        <w:rPr>
          <w:rFonts w:ascii="仿宋_GB2312" w:hAnsi="仿宋_GB2312" w:cs="仿宋_GB2312" w:eastAsia="仿宋_GB2312"/>
          <w:sz w:val="24"/>
        </w:rPr>
        <w:t>合同金额为（人民币大写）（¥）</w:t>
      </w:r>
    </w:p>
    <w:p>
      <w:pPr>
        <w:pStyle w:val="null3"/>
        <w:numPr>
          <w:ilvl w:val="0"/>
          <w:numId w:val="1"/>
        </w:numPr>
        <w:jc w:val="both"/>
      </w:pP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rPr>
        <w:t>本合同服务内容详见附件1：《XXXX服务内容》</w:t>
      </w:r>
    </w:p>
    <w:p>
      <w:pPr>
        <w:pStyle w:val="null3"/>
        <w:jc w:val="both"/>
      </w:pPr>
      <w:r>
        <w:rPr>
          <w:rFonts w:ascii="仿宋_GB2312" w:hAnsi="仿宋_GB2312" w:cs="仿宋_GB2312" w:eastAsia="仿宋_GB2312"/>
          <w:sz w:val="24"/>
          <w:b/>
        </w:rPr>
        <w:t>三、服务期限</w:t>
      </w:r>
    </w:p>
    <w:p>
      <w:pPr>
        <w:pStyle w:val="null3"/>
        <w:ind w:firstLine="480"/>
        <w:jc w:val="both"/>
      </w:pPr>
      <w:r>
        <w:rPr>
          <w:rFonts w:ascii="仿宋_GB2312" w:hAnsi="仿宋_GB2312" w:cs="仿宋_GB2312" w:eastAsia="仿宋_GB2312"/>
          <w:sz w:val="24"/>
        </w:rPr>
        <w:t>_____</w:t>
      </w:r>
      <w:r>
        <w:rPr>
          <w:rFonts w:ascii="仿宋_GB2312" w:hAnsi="仿宋_GB2312" w:cs="仿宋_GB2312" w:eastAsia="仿宋_GB2312"/>
          <w:sz w:val="24"/>
        </w:rPr>
        <w:t>年_____月_____日 至 _____年_____月_____日。</w:t>
      </w:r>
    </w:p>
    <w:p>
      <w:pPr>
        <w:pStyle w:val="null3"/>
        <w:jc w:val="both"/>
      </w:pPr>
      <w:r>
        <w:rPr>
          <w:rFonts w:ascii="仿宋_GB2312" w:hAnsi="仿宋_GB2312" w:cs="仿宋_GB2312" w:eastAsia="仿宋_GB2312"/>
          <w:sz w:val="24"/>
          <w:b/>
        </w:rPr>
        <w:t>四、付款方式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合同款项按下列步骤分两期支付：</w:t>
      </w:r>
    </w:p>
    <w:p>
      <w:pPr>
        <w:pStyle w:val="null3"/>
        <w:ind w:firstLine="480"/>
        <w:jc w:val="both"/>
      </w:pPr>
      <w:r>
        <w:rPr>
          <w:rFonts w:ascii="仿宋_GB2312" w:hAnsi="仿宋_GB2312" w:cs="仿宋_GB2312" w:eastAsia="仿宋_GB2312"/>
          <w:sz w:val="24"/>
        </w:rPr>
        <w:t>第一次付款：在签订合同后，甲方在收到发票后10个工作日内，支付合同金额的50%，即：人民币（</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第二次付款：项目验收通过并在收到发票后10个工作日内，甲方支付合同金额的50%，即：人民币（</w:t>
      </w:r>
      <w:r>
        <w:rPr>
          <w:rFonts w:ascii="仿宋_GB2312" w:hAnsi="仿宋_GB2312" w:cs="仿宋_GB2312" w:eastAsia="仿宋_GB2312"/>
          <w:sz w:val="24"/>
          <w:u w:val="single"/>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付款方式：采用支票、银行汇付（含电汇）等形式。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每笔款项支付，乙方应在甲方支付款项前向甲方提供相应金额的有效发票，且收款方、出具发票方、合同乙方均必须与中标人名称一致。若乙方迟延交付发票的，甲方相应顺延付款时间。</w:t>
      </w:r>
    </w:p>
    <w:p>
      <w:pPr>
        <w:pStyle w:val="null3"/>
        <w:jc w:val="both"/>
      </w:pPr>
      <w:r>
        <w:rPr>
          <w:rFonts w:ascii="仿宋_GB2312" w:hAnsi="仿宋_GB2312" w:cs="仿宋_GB2312" w:eastAsia="仿宋_GB2312"/>
          <w:sz w:val="24"/>
          <w:b/>
        </w:rPr>
        <w:t>五、甲方乙方的权利和义务</w:t>
      </w:r>
    </w:p>
    <w:p>
      <w:pPr>
        <w:pStyle w:val="null3"/>
        <w:jc w:val="both"/>
      </w:pPr>
      <w:r>
        <w:rPr>
          <w:rFonts w:ascii="仿宋_GB2312" w:hAnsi="仿宋_GB2312" w:cs="仿宋_GB2312" w:eastAsia="仿宋_GB2312"/>
          <w:sz w:val="24"/>
          <w:b/>
        </w:rPr>
        <w:t>（一）甲方权利与义务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甲方为乙方有效完成服务提供必要的支持，包括提供工作场所、系统运行软硬件环境、及时下达工作任务，为乙方更好地完成工作任务而协调必要的业务和技术支持。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对乙方不合格的项目成员，甲方有权要求乙方更换，不得空缺。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负责对该项目的验收工作，并出具验收报告。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按合同要求支付乙方相应阶段的费用。</w:t>
      </w:r>
    </w:p>
    <w:p>
      <w:pPr>
        <w:pStyle w:val="null3"/>
        <w:jc w:val="both"/>
      </w:pPr>
      <w:r>
        <w:rPr>
          <w:rFonts w:ascii="仿宋_GB2312" w:hAnsi="仿宋_GB2312" w:cs="仿宋_GB2312" w:eastAsia="仿宋_GB2312"/>
          <w:sz w:val="24"/>
          <w:b/>
        </w:rPr>
        <w:t>（二）乙方权利与义务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乙方保证提供的服务具有合法性，确保甲方不会因使用乙方的服务而产生法律风险。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乙方到甲方进行现场支持服务，应有甲方指定专人陪同，应遵守甲方规章制度，服从甲方管理和调度。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乙方提供服务时引起的各种安全事件和事故，乙方应予以赔偿并承担责任。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乙方不承担由于项目中非乙方人员原因所造成的服务延迟、服务质量或水平下降而带来的任何责任。</w:t>
      </w:r>
    </w:p>
    <w:p>
      <w:pPr>
        <w:pStyle w:val="null3"/>
        <w:jc w:val="both"/>
      </w:pPr>
      <w:r>
        <w:rPr>
          <w:rFonts w:ascii="仿宋_GB2312" w:hAnsi="仿宋_GB2312" w:cs="仿宋_GB2312" w:eastAsia="仿宋_GB2312"/>
          <w:sz w:val="24"/>
          <w:b/>
        </w:rPr>
        <w:t>六、验收</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验收准入条件：</w:t>
      </w:r>
    </w:p>
    <w:p>
      <w:pPr>
        <w:pStyle w:val="null3"/>
        <w:ind w:firstLine="480"/>
        <w:jc w:val="both"/>
      </w:pPr>
      <w:r>
        <w:rPr>
          <w:rFonts w:ascii="仿宋_GB2312" w:hAnsi="仿宋_GB2312" w:cs="仿宋_GB2312" w:eastAsia="仿宋_GB2312"/>
          <w:sz w:val="24"/>
        </w:rPr>
        <w:t>本项目采购需求中包含的各项服务工作内容全部完成。服务过程中相关管理、文档通过甲方评审。</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b/>
        </w:rPr>
        <w:t>验收标准</w:t>
      </w:r>
    </w:p>
    <w:p>
      <w:pPr>
        <w:pStyle w:val="null3"/>
        <w:ind w:firstLine="480"/>
        <w:jc w:val="both"/>
      </w:pPr>
      <w:r>
        <w:rPr>
          <w:rFonts w:ascii="仿宋_GB2312" w:hAnsi="仿宋_GB2312" w:cs="仿宋_GB2312" w:eastAsia="仿宋_GB2312"/>
          <w:sz w:val="24"/>
        </w:rPr>
        <w:t>甲方以本项目采购需求相关内容为依据，作为项目验收标准用以评定乙方是否按照本项目招标文件中定义的各项服务内容和服务管理开展各项工作，工作流程和结果是否符合甲方质量管理要求，是否提交相关工作文档。</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b/>
        </w:rPr>
        <w:t>验收流程</w:t>
      </w:r>
    </w:p>
    <w:p>
      <w:pPr>
        <w:pStyle w:val="null3"/>
        <w:numPr>
          <w:ilvl w:val="0"/>
          <w:numId w:val="2"/>
        </w:numPr>
        <w:ind w:left="300"/>
        <w:jc w:val="both"/>
      </w:pPr>
      <w:r>
        <w:rPr>
          <w:rFonts w:ascii="仿宋_GB2312" w:hAnsi="仿宋_GB2312" w:cs="仿宋_GB2312" w:eastAsia="仿宋_GB2312"/>
          <w:sz w:val="24"/>
        </w:rPr>
        <w:t>在合同有效期满后的</w:t>
      </w:r>
      <w:r>
        <w:rPr>
          <w:rFonts w:ascii="仿宋_GB2312" w:hAnsi="仿宋_GB2312" w:cs="仿宋_GB2312" w:eastAsia="仿宋_GB2312"/>
          <w:sz w:val="24"/>
        </w:rPr>
        <w:t>30</w:t>
      </w:r>
      <w:r>
        <w:rPr>
          <w:rFonts w:ascii="仿宋_GB2312" w:hAnsi="仿宋_GB2312" w:cs="仿宋_GB2312" w:eastAsia="仿宋_GB2312"/>
          <w:sz w:val="24"/>
        </w:rPr>
        <w:t>个工作日内，甲方、乙方就乙方提供服务进行验收。</w:t>
      </w:r>
    </w:p>
    <w:p>
      <w:pPr>
        <w:pStyle w:val="null3"/>
        <w:numPr>
          <w:ilvl w:val="0"/>
          <w:numId w:val="2"/>
        </w:numPr>
        <w:ind w:left="300"/>
        <w:jc w:val="both"/>
      </w:pPr>
      <w:r>
        <w:rPr>
          <w:rFonts w:ascii="仿宋_GB2312" w:hAnsi="仿宋_GB2312" w:cs="仿宋_GB2312" w:eastAsia="仿宋_GB2312"/>
          <w:sz w:val="24"/>
        </w:rPr>
        <w:t>乙方完成本项目采购需求中全部服务工作内容，符合本项目验收准入条件后，乙方可提出项目验收申请。</w:t>
      </w:r>
    </w:p>
    <w:p>
      <w:pPr>
        <w:pStyle w:val="null3"/>
        <w:numPr>
          <w:ilvl w:val="0"/>
          <w:numId w:val="2"/>
        </w:numPr>
        <w:ind w:left="300"/>
        <w:jc w:val="both"/>
      </w:pPr>
      <w:r>
        <w:rPr>
          <w:rFonts w:ascii="仿宋_GB2312" w:hAnsi="仿宋_GB2312" w:cs="仿宋_GB2312" w:eastAsia="仿宋_GB2312"/>
          <w:sz w:val="24"/>
        </w:rPr>
        <w:t>乙方书面提出项目验收申请。</w:t>
      </w:r>
    </w:p>
    <w:p>
      <w:pPr>
        <w:pStyle w:val="null3"/>
        <w:numPr>
          <w:ilvl w:val="0"/>
          <w:numId w:val="2"/>
        </w:numPr>
        <w:ind w:left="300"/>
        <w:jc w:val="both"/>
      </w:pPr>
      <w:r>
        <w:rPr>
          <w:rFonts w:ascii="仿宋_GB2312" w:hAnsi="仿宋_GB2312" w:cs="仿宋_GB2312" w:eastAsia="仿宋_GB2312"/>
          <w:sz w:val="24"/>
        </w:rPr>
        <w:t>乙方向甲方提交《项目工作总结报告》。</w:t>
      </w:r>
    </w:p>
    <w:p>
      <w:pPr>
        <w:pStyle w:val="null3"/>
        <w:numPr>
          <w:ilvl w:val="0"/>
          <w:numId w:val="2"/>
        </w:numPr>
        <w:ind w:left="300"/>
        <w:jc w:val="both"/>
      </w:pPr>
      <w:r>
        <w:rPr>
          <w:rFonts w:ascii="仿宋_GB2312" w:hAnsi="仿宋_GB2312" w:cs="仿宋_GB2312" w:eastAsia="仿宋_GB2312"/>
          <w:sz w:val="24"/>
        </w:rPr>
        <w:t>乙方向甲方整理提交与本项目采购需求实现的相关管理、技术文档电子版文件。</w:t>
      </w:r>
    </w:p>
    <w:p>
      <w:pPr>
        <w:pStyle w:val="null3"/>
        <w:numPr>
          <w:ilvl w:val="0"/>
          <w:numId w:val="2"/>
        </w:numPr>
        <w:ind w:left="300"/>
        <w:jc w:val="both"/>
      </w:pPr>
      <w:r>
        <w:rPr>
          <w:rFonts w:ascii="仿宋_GB2312" w:hAnsi="仿宋_GB2312" w:cs="仿宋_GB2312" w:eastAsia="仿宋_GB2312"/>
          <w:sz w:val="24"/>
        </w:rPr>
        <w:t>甲方组织进行项目验收评审会议，对项目工作内容及文档进行验收评审。</w:t>
      </w:r>
    </w:p>
    <w:p>
      <w:pPr>
        <w:pStyle w:val="null3"/>
        <w:numPr>
          <w:ilvl w:val="0"/>
          <w:numId w:val="2"/>
        </w:numPr>
        <w:ind w:left="300"/>
        <w:jc w:val="both"/>
      </w:pPr>
      <w:r>
        <w:rPr>
          <w:rFonts w:ascii="仿宋_GB2312" w:hAnsi="仿宋_GB2312" w:cs="仿宋_GB2312" w:eastAsia="仿宋_GB2312"/>
          <w:sz w:val="24"/>
        </w:rPr>
        <w:t>项目验收评审通过后，甲方出具项目验收报告。</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验收交付成果物</w:t>
      </w:r>
    </w:p>
    <w:p>
      <w:pPr>
        <w:pStyle w:val="null3"/>
        <w:numPr>
          <w:ilvl w:val="0"/>
          <w:numId w:val="2"/>
        </w:numPr>
        <w:ind w:left="300"/>
        <w:jc w:val="both"/>
      </w:pPr>
      <w:r>
        <w:rPr>
          <w:rFonts w:ascii="仿宋_GB2312" w:hAnsi="仿宋_GB2312" w:cs="仿宋_GB2312" w:eastAsia="仿宋_GB2312"/>
          <w:sz w:val="24"/>
        </w:rPr>
        <w:t>提交验收方案</w:t>
      </w:r>
    </w:p>
    <w:p>
      <w:pPr>
        <w:pStyle w:val="null3"/>
        <w:numPr>
          <w:ilvl w:val="0"/>
          <w:numId w:val="2"/>
        </w:numPr>
        <w:ind w:left="300"/>
        <w:jc w:val="both"/>
      </w:pPr>
      <w:r>
        <w:rPr>
          <w:rFonts w:ascii="仿宋_GB2312" w:hAnsi="仿宋_GB2312" w:cs="仿宋_GB2312" w:eastAsia="仿宋_GB2312"/>
          <w:sz w:val="24"/>
        </w:rPr>
        <w:t>提交验收报告</w:t>
      </w:r>
    </w:p>
    <w:p>
      <w:pPr>
        <w:pStyle w:val="null3"/>
        <w:numPr>
          <w:ilvl w:val="0"/>
          <w:numId w:val="2"/>
        </w:numPr>
        <w:ind w:left="300"/>
        <w:jc w:val="both"/>
      </w:pPr>
      <w:r>
        <w:rPr>
          <w:rFonts w:ascii="仿宋_GB2312" w:hAnsi="仿宋_GB2312" w:cs="仿宋_GB2312" w:eastAsia="仿宋_GB2312"/>
          <w:sz w:val="24"/>
        </w:rPr>
        <w:t>提交移交物清单及移交物</w:t>
      </w:r>
    </w:p>
    <w:p>
      <w:pPr>
        <w:pStyle w:val="null3"/>
        <w:numPr>
          <w:ilvl w:val="0"/>
          <w:numId w:val="2"/>
        </w:numPr>
        <w:ind w:left="300"/>
        <w:jc w:val="both"/>
      </w:pPr>
      <w:r>
        <w:rPr>
          <w:rFonts w:ascii="仿宋_GB2312" w:hAnsi="仿宋_GB2312" w:cs="仿宋_GB2312" w:eastAsia="仿宋_GB2312"/>
          <w:sz w:val="24"/>
        </w:rPr>
        <w:t>业务技术测试（或试运行）报告及文档</w:t>
      </w:r>
    </w:p>
    <w:p>
      <w:pPr>
        <w:pStyle w:val="null3"/>
        <w:numPr>
          <w:ilvl w:val="0"/>
          <w:numId w:val="2"/>
        </w:numPr>
        <w:ind w:left="300"/>
        <w:jc w:val="both"/>
      </w:pPr>
      <w:r>
        <w:rPr>
          <w:rFonts w:ascii="仿宋_GB2312" w:hAnsi="仿宋_GB2312" w:cs="仿宋_GB2312" w:eastAsia="仿宋_GB2312"/>
          <w:sz w:val="24"/>
        </w:rPr>
        <w:t>标准化规范文档</w:t>
      </w:r>
    </w:p>
    <w:p>
      <w:pPr>
        <w:pStyle w:val="null3"/>
        <w:jc w:val="both"/>
      </w:pPr>
      <w:r>
        <w:rPr>
          <w:rFonts w:ascii="仿宋_GB2312" w:hAnsi="仿宋_GB2312" w:cs="仿宋_GB2312" w:eastAsia="仿宋_GB2312"/>
          <w:sz w:val="24"/>
          <w:b/>
        </w:rPr>
        <w:t>七、违约责任与赔偿损失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乙方提供的服务不符合本合同规定的，甲方有权拒绝，并且乙方须向甲方支付合同金额5%的违约金。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乙方未能按本合同规定的时间提供服务，从逾期之日起每日按合同金额3‰的数额向甲方支付违约金；逾期半个月以上的，甲方有权终止合同，并且乙方须向甲方支付合同金额5%的违约金。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甲方无正当理由拒绝接受服务，到期拒付服务款项的，甲方向乙方偿付合同金额的5%的违约金。甲方逾期付款，则每日按逾期款项的3‰向乙方偿付违约金，但因乙方自身原因导致无法及时支付的除外。</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乙方不得另行开发本合同业务需求范围内、供纳税人(或缴费人)使用的软件,如有违反，甲方将乙方纳入税务系统信息化服务商失信名单。</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乙方应建立防止违法违规聘用离职税务人员的风险控制制度。乙方违法违规聘用离职税务人员的，甲方有权采取以下一项或多项措施：</w:t>
      </w:r>
    </w:p>
    <w:p>
      <w:pPr>
        <w:pStyle w:val="null3"/>
        <w:ind w:firstLine="480"/>
        <w:jc w:val="both"/>
      </w:pPr>
      <w:r>
        <w:rPr>
          <w:rFonts w:ascii="仿宋_GB2312" w:hAnsi="仿宋_GB2312" w:cs="仿宋_GB2312" w:eastAsia="仿宋_GB2312"/>
          <w:sz w:val="24"/>
        </w:rPr>
        <w:t>（1）甲方要求乙方限期改正。</w:t>
      </w:r>
    </w:p>
    <w:p>
      <w:pPr>
        <w:pStyle w:val="null3"/>
        <w:ind w:firstLine="480"/>
        <w:jc w:val="both"/>
      </w:pPr>
      <w:r>
        <w:rPr>
          <w:rFonts w:ascii="仿宋_GB2312" w:hAnsi="仿宋_GB2312" w:cs="仿宋_GB2312" w:eastAsia="仿宋_GB2312"/>
          <w:sz w:val="24"/>
        </w:rPr>
        <w:t>（2）乙方按合同总价10%的数额向甲方支付违约金。</w:t>
      </w:r>
    </w:p>
    <w:p>
      <w:pPr>
        <w:pStyle w:val="null3"/>
        <w:ind w:firstLine="480"/>
        <w:jc w:val="both"/>
      </w:pPr>
      <w:r>
        <w:rPr>
          <w:rFonts w:ascii="仿宋_GB2312" w:hAnsi="仿宋_GB2312" w:cs="仿宋_GB2312" w:eastAsia="仿宋_GB2312"/>
          <w:sz w:val="24"/>
        </w:rPr>
        <w:t>（3）乙方3年内不得参加所聘人员原单位及下属单位的信息化项目政府采购活动。</w:t>
      </w:r>
    </w:p>
    <w:p>
      <w:pPr>
        <w:pStyle w:val="null3"/>
        <w:ind w:firstLine="480"/>
        <w:jc w:val="both"/>
      </w:pPr>
      <w:r>
        <w:rPr>
          <w:rFonts w:ascii="仿宋_GB2312" w:hAnsi="仿宋_GB2312" w:cs="仿宋_GB2312" w:eastAsia="仿宋_GB2312"/>
          <w:sz w:val="24"/>
        </w:rPr>
        <w:t>（4）甲方有权解除部分或全部合同。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其它违约责任按《中华人民共和国民法典》处理。</w:t>
      </w:r>
    </w:p>
    <w:p>
      <w:pPr>
        <w:pStyle w:val="null3"/>
        <w:jc w:val="both"/>
      </w:pPr>
      <w:r>
        <w:rPr>
          <w:rFonts w:ascii="仿宋_GB2312" w:hAnsi="仿宋_GB2312" w:cs="仿宋_GB2312" w:eastAsia="仿宋_GB2312"/>
          <w:sz w:val="24"/>
          <w:b/>
        </w:rPr>
        <w:t>八、保密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本合同签署双方均不得向第三方泄露本合同内容及在本合同履行过程中获得的另一方的商业秘密及知识产权。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乙方应对在项目实施过程中接触到的甲方所有系统信息、工作资料等进行保密，不得以任何形式复制、带走或提供给任何其他个人或团体。乙方如违反本保密约定，甲方有权追究乙方的相关法律责任。</w:t>
      </w:r>
    </w:p>
    <w:p>
      <w:pPr>
        <w:pStyle w:val="null3"/>
        <w:jc w:val="both"/>
      </w:pPr>
      <w:r>
        <w:rPr>
          <w:rFonts w:ascii="仿宋_GB2312" w:hAnsi="仿宋_GB2312" w:cs="仿宋_GB2312" w:eastAsia="仿宋_GB2312"/>
          <w:sz w:val="24"/>
          <w:b/>
        </w:rPr>
        <w:t>九、知识产权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乙方在服务过程中产生的所有技术资料、提交件及其他类别的知识产权归甲方所有。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乙方交付给甲方的成果不得侵犯第三方的合法权益。如果甲方因使用本项目成果或其中一部分而被第三方起诉侵犯其专利权、商标权或其它知识产权，乙方将依法承担相应的法律责任。</w:t>
      </w:r>
    </w:p>
    <w:p>
      <w:pPr>
        <w:pStyle w:val="null3"/>
        <w:jc w:val="both"/>
      </w:pPr>
      <w:r>
        <w:rPr>
          <w:rFonts w:ascii="仿宋_GB2312" w:hAnsi="仿宋_GB2312" w:cs="仿宋_GB2312" w:eastAsia="仿宋_GB2312"/>
          <w:sz w:val="24"/>
          <w:b/>
        </w:rPr>
        <w:t>十、争议的解决</w:t>
      </w:r>
    </w:p>
    <w:p>
      <w:pPr>
        <w:pStyle w:val="null3"/>
        <w:ind w:firstLine="480"/>
        <w:jc w:val="both"/>
      </w:pPr>
      <w:r>
        <w:rPr>
          <w:rFonts w:ascii="仿宋_GB2312" w:hAnsi="仿宋_GB2312" w:cs="仿宋_GB2312" w:eastAsia="仿宋_GB2312"/>
          <w:sz w:val="24"/>
        </w:rPr>
        <w:t>双方因履行本合同所发生的一切争议，应通过友好协商解决；如协商解决不成，可向甲方所在地法院提起诉讼。</w:t>
      </w:r>
    </w:p>
    <w:p>
      <w:pPr>
        <w:pStyle w:val="null3"/>
        <w:jc w:val="both"/>
      </w:pPr>
      <w:r>
        <w:rPr>
          <w:rFonts w:ascii="仿宋_GB2312" w:hAnsi="仿宋_GB2312" w:cs="仿宋_GB2312" w:eastAsia="仿宋_GB2312"/>
          <w:sz w:val="24"/>
          <w:b/>
        </w:rPr>
        <w:t>十一、不可抗力</w:t>
      </w:r>
    </w:p>
    <w:p>
      <w:pPr>
        <w:pStyle w:val="null3"/>
        <w:ind w:firstLine="480"/>
        <w:jc w:val="both"/>
      </w:pPr>
      <w:r>
        <w:rPr>
          <w:rFonts w:ascii="仿宋_GB2312" w:hAnsi="仿宋_GB2312" w:cs="仿宋_GB2312" w:eastAsia="仿宋_GB2312"/>
          <w:sz w:val="24"/>
        </w:rPr>
        <w:t>签约双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rFonts w:ascii="仿宋_GB2312" w:hAnsi="仿宋_GB2312" w:cs="仿宋_GB2312" w:eastAsia="仿宋_GB2312"/>
          <w:sz w:val="24"/>
          <w:b/>
        </w:rPr>
        <w:t>十二、税费</w:t>
      </w:r>
    </w:p>
    <w:p>
      <w:pPr>
        <w:pStyle w:val="null3"/>
        <w:ind w:firstLine="480"/>
        <w:jc w:val="both"/>
      </w:pPr>
      <w:r>
        <w:rPr>
          <w:rFonts w:ascii="仿宋_GB2312" w:hAnsi="仿宋_GB2312" w:cs="仿宋_GB2312" w:eastAsia="仿宋_GB2312"/>
          <w:sz w:val="24"/>
        </w:rPr>
        <w:t>在中国境内、外发生的与本合同执行有关的一切税费均由乙方负担。（印花税除外，书立合同的各方各自按规定缴纳印花税）</w:t>
      </w:r>
    </w:p>
    <w:p>
      <w:pPr>
        <w:pStyle w:val="null3"/>
        <w:jc w:val="both"/>
      </w:pPr>
      <w:r>
        <w:rPr>
          <w:rFonts w:ascii="仿宋_GB2312" w:hAnsi="仿宋_GB2312" w:cs="仿宋_GB2312" w:eastAsia="仿宋_GB2312"/>
          <w:sz w:val="24"/>
          <w:b/>
        </w:rPr>
        <w:t>十三、其它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自甲方及甲方主管机关认定或通报之日起三年内，甲方可以拒绝乙方参与其政府采购活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本项目实施过程中发生违反网络安全规定行为，造成数据失窃或丢失、敏感信息泄露、主要业务系统瘫痪等不良后果的，自甲方或甲方主管机关做出认定之日起三年内，税务系统各单位可以拒绝乙方参与税务系统政府采购活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如涉及到外包运维人员离场，所属外包运维单位须按甲方要求做好离职离岗相关工作。</w:t>
      </w:r>
    </w:p>
    <w:p>
      <w:pPr>
        <w:pStyle w:val="null3"/>
        <w:ind w:firstLine="480"/>
        <w:jc w:val="both"/>
      </w:pPr>
      <w:r>
        <w:rPr>
          <w:rFonts w:ascii="仿宋_GB2312" w:hAnsi="仿宋_GB2312" w:cs="仿宋_GB2312" w:eastAsia="仿宋_GB2312"/>
          <w:sz w:val="24"/>
          <w:b/>
        </w:rPr>
        <w:t>十四、合同生效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本合同一式 </w:t>
      </w:r>
      <w:r>
        <w:rPr>
          <w:rFonts w:ascii="仿宋_GB2312" w:hAnsi="仿宋_GB2312" w:cs="仿宋_GB2312" w:eastAsia="仿宋_GB2312"/>
          <w:sz w:val="24"/>
          <w:u w:val="single"/>
        </w:rPr>
        <w:t>肆</w:t>
      </w:r>
      <w:r>
        <w:rPr>
          <w:rFonts w:ascii="仿宋_GB2312" w:hAnsi="仿宋_GB2312" w:cs="仿宋_GB2312" w:eastAsia="仿宋_GB2312"/>
          <w:sz w:val="24"/>
        </w:rPr>
        <w:t xml:space="preserve"> 份，双方各执 </w:t>
      </w:r>
      <w:r>
        <w:rPr>
          <w:rFonts w:ascii="仿宋_GB2312" w:hAnsi="仿宋_GB2312" w:cs="仿宋_GB2312" w:eastAsia="仿宋_GB2312"/>
          <w:sz w:val="24"/>
          <w:u w:val="single"/>
        </w:rPr>
        <w:t>贰</w:t>
      </w:r>
      <w:r>
        <w:rPr>
          <w:rFonts w:ascii="仿宋_GB2312" w:hAnsi="仿宋_GB2312" w:cs="仿宋_GB2312" w:eastAsia="仿宋_GB2312"/>
          <w:sz w:val="24"/>
        </w:rPr>
        <w:t xml:space="preserve"> 份，具有同等法律效力。</w:t>
      </w:r>
    </w:p>
    <w:p>
      <w:pPr>
        <w:pStyle w:val="null3"/>
        <w:jc w:val="both"/>
      </w:pPr>
      <w:r>
        <w:rPr>
          <w:rFonts w:ascii="仿宋_GB2312" w:hAnsi="仿宋_GB2312" w:cs="仿宋_GB2312" w:eastAsia="仿宋_GB2312"/>
          <w:sz w:val="24"/>
        </w:rPr>
        <w:t>甲方（盖章）：                         乙方（盖章）：</w:t>
      </w:r>
    </w:p>
    <w:p>
      <w:pPr>
        <w:pStyle w:val="null3"/>
        <w:jc w:val="both"/>
      </w:pPr>
      <w:r>
        <w:rPr>
          <w:rFonts w:ascii="仿宋_GB2312" w:hAnsi="仿宋_GB2312" w:cs="仿宋_GB2312" w:eastAsia="仿宋_GB2312"/>
          <w:sz w:val="24"/>
        </w:rPr>
        <w:t>国家税务总局广州市税务局              公司：XXX</w:t>
      </w:r>
    </w:p>
    <w:p>
      <w:pPr>
        <w:pStyle w:val="null3"/>
        <w:jc w:val="both"/>
      </w:pPr>
      <w:r>
        <w:rPr>
          <w:rFonts w:ascii="仿宋_GB2312" w:hAnsi="仿宋_GB2312" w:cs="仿宋_GB2312" w:eastAsia="仿宋_GB2312"/>
          <w:sz w:val="24"/>
        </w:rPr>
        <w:t>法定代表人：                          法定代表人：</w:t>
      </w:r>
    </w:p>
    <w:p>
      <w:pPr>
        <w:pStyle w:val="null3"/>
        <w:jc w:val="both"/>
      </w:pPr>
      <w:r>
        <w:rPr>
          <w:rFonts w:ascii="仿宋_GB2312" w:hAnsi="仿宋_GB2312" w:cs="仿宋_GB2312" w:eastAsia="仿宋_GB2312"/>
          <w:sz w:val="24"/>
        </w:rPr>
        <w:t>授权代表：                            授权代表：</w:t>
      </w:r>
    </w:p>
    <w:p>
      <w:pPr>
        <w:pStyle w:val="null3"/>
        <w:jc w:val="both"/>
      </w:pPr>
      <w:r>
        <w:rPr>
          <w:rFonts w:ascii="仿宋_GB2312" w:hAnsi="仿宋_GB2312" w:cs="仿宋_GB2312" w:eastAsia="仿宋_GB2312"/>
          <w:sz w:val="24"/>
        </w:rPr>
        <w:t>签定地点：</w:t>
      </w:r>
    </w:p>
    <w:p>
      <w:pPr>
        <w:pStyle w:val="null3"/>
        <w:jc w:val="both"/>
      </w:pPr>
      <w:r>
        <w:rPr>
          <w:rFonts w:ascii="仿宋_GB2312" w:hAnsi="仿宋_GB2312" w:cs="仿宋_GB2312" w:eastAsia="仿宋_GB2312"/>
          <w:sz w:val="24"/>
        </w:rPr>
        <w:t>签定日期：   年　 月 　日             签定日期： 　年 　月 　日</w:t>
      </w:r>
    </w:p>
    <w:p>
      <w:pPr>
        <w:pStyle w:val="null3"/>
        <w:jc w:val="both"/>
      </w:pPr>
      <w:r>
        <w:rPr>
          <w:rFonts w:ascii="仿宋_GB2312" w:hAnsi="仿宋_GB2312" w:cs="仿宋_GB2312" w:eastAsia="仿宋_GB2312"/>
          <w:sz w:val="24"/>
        </w:rPr>
        <w:t>开户名称：</w:t>
      </w:r>
    </w:p>
    <w:p>
      <w:pPr>
        <w:pStyle w:val="null3"/>
        <w:ind w:right="-1110" w:firstLine="4535"/>
        <w:jc w:val="both"/>
      </w:pPr>
      <w:r>
        <w:rPr>
          <w:rFonts w:ascii="仿宋_GB2312" w:hAnsi="仿宋_GB2312" w:cs="仿宋_GB2312" w:eastAsia="仿宋_GB2312"/>
          <w:sz w:val="24"/>
        </w:rPr>
        <w:t xml:space="preserve">开户行： </w:t>
      </w:r>
    </w:p>
    <w:p>
      <w:pPr>
        <w:pStyle w:val="null3"/>
        <w:jc w:val="center"/>
        <w:outlineLvl w:val="0"/>
      </w:pPr>
      <w:r>
        <w:rPr>
          <w:rFonts w:ascii="仿宋_GB2312" w:hAnsi="仿宋_GB2312" w:cs="仿宋_GB2312" w:eastAsia="仿宋_GB2312"/>
          <w:sz w:val="24"/>
          <w:b/>
        </w:rPr>
        <w:t>银行帐号：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国家税务总局广州市税务局云平台及服务器运维服务项目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GPCGD24C500FG153F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国家税务总局广州市税务局云平台及服务器运维服务项目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GPCGD24C500FG153F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国家税务总局广州市税务局云平台及服务器运维服务项目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国家税务总局广州市税务局云平台及服务器运维服务项目</w:t>
      </w:r>
      <w:r>
        <w:rPr>
          <w:rFonts w:ascii="仿宋_GB2312" w:hAnsi="仿宋_GB2312" w:cs="仿宋_GB2312" w:eastAsia="仿宋_GB2312"/>
        </w:rPr>
        <w:t>”项目采购[采购项目编号为</w:t>
      </w:r>
      <w:r>
        <w:rPr>
          <w:rFonts w:ascii="仿宋_GB2312" w:hAnsi="仿宋_GB2312" w:cs="仿宋_GB2312" w:eastAsia="仿宋_GB2312"/>
        </w:rPr>
        <w:t>GPCGD24C500FG153F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国家税务总局广州市税务局云平台及服务器运维服务项目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GPCGD24C500FG153F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国家税务总局广州市税务局云平台及服务器运维服务项目</w:t>
      </w:r>
      <w:r>
        <w:rPr>
          <w:rFonts w:ascii="仿宋_GB2312" w:hAnsi="仿宋_GB2312" w:cs="仿宋_GB2312" w:eastAsia="仿宋_GB2312"/>
        </w:rPr>
        <w:t>”项目（采购项目编号：</w:t>
      </w:r>
      <w:r>
        <w:rPr>
          <w:rFonts w:ascii="仿宋_GB2312" w:hAnsi="仿宋_GB2312" w:cs="仿宋_GB2312" w:eastAsia="仿宋_GB2312"/>
        </w:rPr>
        <w:t>GPCGD24C500FG153F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