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国家税务总局广州市税务局广州市数字政府对接技术支持服务项目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GPCGD24C500FG177F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国家税务总局广州市税务局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国家税务总局广州市税务局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国家税务总局广州市税务局广州市数字政府对接技术支持服务项目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国家税务总局广州市税务局广州市数字政府对接技术支持服务项目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GPCGD24C500FG177F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1,200,000.00元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国家税务总局广州市税务局广州市数字政府对接技术支持服务项目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软件和信息技术服务业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本采购包合同履约期限情况：自合同签订之日起，提供1年或经采购人核定的工作量达到67个人月支持服务。投标人应按照采购人提出的进度安排按时完成工作任务。</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sz w:val="21"/>
          <w:b/>
        </w:rPr>
        <w:t>本项目属于服务类项目，中小企业划分标准所属行业为：软件和信息技术服务业。</w:t>
      </w:r>
    </w:p>
    <w:p>
      <w:pPr>
        <w:pStyle w:val="null3"/>
        <w:jc w:val="left"/>
      </w:pPr>
      <w:r>
        <w:rPr>
          <w:rFonts w:ascii="仿宋_GB2312" w:hAnsi="仿宋_GB2312" w:cs="仿宋_GB2312" w:eastAsia="仿宋_GB2312"/>
          <w:sz w:val="21"/>
          <w:b/>
        </w:rPr>
        <w:t>本项目属于专门面向中小企业采购项目。</w:t>
      </w:r>
    </w:p>
    <w:p>
      <w:pPr>
        <w:pStyle w:val="null3"/>
        <w:jc w:val="left"/>
      </w:pPr>
      <w:r>
        <w:rPr>
          <w:rFonts w:ascii="仿宋_GB2312" w:hAnsi="仿宋_GB2312" w:cs="仿宋_GB2312" w:eastAsia="仿宋_GB2312"/>
          <w:sz w:val="21"/>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经会计师事务所审计的2023年度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中小企业采购：本项目属于专门面向中小企业采购的项目。供应商须为符合本项目采购标的对应行业（软件和信息技术服务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广东省广州市天河区华夏路3号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020-38006100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020-83186835/83187283（sczx3@gd.gov.cn推荐使用）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郑工/刘工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020-83186835/83187283</w:t>
      </w:r>
      <w:r>
        <w:rPr>
          <w:rFonts w:ascii="仿宋_GB2312" w:hAnsi="仿宋_GB2312" w:cs="仿宋_GB2312" w:eastAsia="仿宋_GB2312"/>
          <w:sz w:val="21"/>
        </w:rPr>
        <w:t>（sczx3@gd.gov.cn推荐使用）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br/>
      </w:r>
      <w:r>
        <w:rPr>
          <w:rFonts w:ascii="仿宋_GB2312" w:hAnsi="仿宋_GB2312" w:cs="仿宋_GB2312" w:eastAsia="仿宋_GB2312"/>
        </w:rPr>
        <w:t xml:space="preserve"> “★”号条款</w:t>
      </w:r>
      <w:r>
        <w:br/>
      </w:r>
      <w:r>
        <w:rPr>
          <w:rFonts w:ascii="仿宋_GB2312" w:hAnsi="仿宋_GB2312" w:cs="仿宋_GB2312" w:eastAsia="仿宋_GB2312"/>
        </w:rPr>
        <w:t xml:space="preserve"> 《用户需求书》中标注有“★”号的条款必须实质性响应，负偏离（不满足要求）将导致投标无效。</w:t>
      </w:r>
    </w:p>
    <w:p>
      <w:pPr>
        <w:pStyle w:val="null3"/>
        <w:jc w:val="left"/>
      </w:pPr>
      <w:r>
        <w:rPr>
          <w:rFonts w:ascii="仿宋_GB2312" w:hAnsi="仿宋_GB2312" w:cs="仿宋_GB2312" w:eastAsia="仿宋_GB2312"/>
        </w:rPr>
        <w:t>一、    有关说明</w:t>
      </w:r>
      <w:r>
        <w:br/>
      </w:r>
      <w:r>
        <w:rPr>
          <w:rFonts w:ascii="仿宋_GB2312" w:hAnsi="仿宋_GB2312" w:cs="仿宋_GB2312" w:eastAsia="仿宋_GB2312"/>
        </w:rPr>
        <w:t xml:space="preserve"> (一)    投标人须对本项目的采购标的进行整体投标，任何只对本项目采购标的其中一部分内容、数量进行的投标都被视为无效投标。</w:t>
      </w:r>
      <w:r>
        <w:br/>
      </w:r>
      <w:r>
        <w:rPr>
          <w:rFonts w:ascii="仿宋_GB2312" w:hAnsi="仿宋_GB2312" w:cs="仿宋_GB2312" w:eastAsia="仿宋_GB2312"/>
        </w:rPr>
        <w:t xml:space="preserve"> 二、    项目基本概况</w:t>
      </w:r>
      <w:r>
        <w:br/>
      </w:r>
      <w:r>
        <w:rPr>
          <w:rFonts w:ascii="仿宋_GB2312" w:hAnsi="仿宋_GB2312" w:cs="仿宋_GB2312" w:eastAsia="仿宋_GB2312"/>
        </w:rPr>
        <w:t xml:space="preserve"> (一)    服务范围：</w:t>
      </w:r>
      <w:r>
        <w:br/>
      </w:r>
      <w:r>
        <w:rPr>
          <w:rFonts w:ascii="仿宋_GB2312" w:hAnsi="仿宋_GB2312" w:cs="仿宋_GB2312" w:eastAsia="仿宋_GB2312"/>
        </w:rPr>
        <w:t xml:space="preserve"> 1、通过运营基于市政数局区块链平台和广东税务区块链平台的跨政府部门业务协同场景，延续已有的系统资源和数据资产，开展持续性的系统业务运营服务，持续优化完善相应系统功能，保障广州市的办税服务有序、平稳运行。</w:t>
      </w:r>
      <w:r>
        <w:br/>
      </w:r>
      <w:r>
        <w:rPr>
          <w:rFonts w:ascii="仿宋_GB2312" w:hAnsi="仿宋_GB2312" w:cs="仿宋_GB2312" w:eastAsia="仿宋_GB2312"/>
        </w:rPr>
        <w:t xml:space="preserve"> 2、根据市政府业务部门的用数需要和政策变化，定期提供股权转让、不动产契税、发票等信息，基于区块链平台进一步拓展应用场景,形成跨政府相关部门、跨商家、跨消费者的一个信息系统，让大家可以在信息系统支持下完成复杂的多链条、多环节事项办理，增强便利度。</w:t>
      </w:r>
      <w:r>
        <w:br/>
      </w:r>
      <w:r>
        <w:rPr>
          <w:rFonts w:ascii="仿宋_GB2312" w:hAnsi="仿宋_GB2312" w:cs="仿宋_GB2312" w:eastAsia="仿宋_GB2312"/>
        </w:rPr>
        <w:t xml:space="preserve"> 3、针对基层单位日常大量需要联系纳税人的电话核查、辅导工作，完成与第三方服务商的技术对接，帮助开展纳税人电话实名信息核查。</w:t>
      </w:r>
      <w:r>
        <w:br/>
      </w:r>
      <w:r>
        <w:rPr>
          <w:rFonts w:ascii="仿宋_GB2312" w:hAnsi="仿宋_GB2312" w:cs="仿宋_GB2312" w:eastAsia="仿宋_GB2312"/>
        </w:rPr>
        <w:t xml:space="preserve"> 4、根据业务部门统计分析需求，定期提供地理信息系统利用成效分析报告的底层依赖数据及相关图表。</w:t>
      </w:r>
      <w:r>
        <w:br/>
      </w:r>
      <w:r>
        <w:rPr>
          <w:rFonts w:ascii="仿宋_GB2312" w:hAnsi="仿宋_GB2312" w:cs="仿宋_GB2312" w:eastAsia="仿宋_GB2312"/>
        </w:rPr>
        <w:t xml:space="preserve"> (二)    服务要求：中标人应按照采购需求的要求提供详细的破产企业财产信息管理功能优化分析的方案、定期向市政府提供涉税信息对接方案、地理信息系统对接方案。投标人提供的各项服务工作应完全符合采购人指明的标准，并满足或高于采购人的要求。</w:t>
      </w:r>
      <w:r>
        <w:br/>
      </w:r>
      <w:r>
        <w:rPr>
          <w:rFonts w:ascii="仿宋_GB2312" w:hAnsi="仿宋_GB2312" w:cs="仿宋_GB2312" w:eastAsia="仿宋_GB2312"/>
        </w:rPr>
        <w:t xml:space="preserve"> (三)    服务时间（履行期限）：自合同签订之日起，提供1年或经采购人核定的工作量达到67个人月支持服务。投标人应按照采购人提出的进度安排按时完成工作任务。</w:t>
      </w:r>
      <w:r>
        <w:br/>
      </w:r>
      <w:r>
        <w:rPr>
          <w:rFonts w:ascii="仿宋_GB2312" w:hAnsi="仿宋_GB2312" w:cs="仿宋_GB2312" w:eastAsia="仿宋_GB2312"/>
        </w:rPr>
        <w:t xml:space="preserve"> (四)    服务标准：按照采购需求书中技术规范标准实施本项目。</w:t>
      </w:r>
      <w:r>
        <w:br/>
      </w:r>
      <w:r>
        <w:rPr>
          <w:rFonts w:ascii="仿宋_GB2312" w:hAnsi="仿宋_GB2312" w:cs="仿宋_GB2312" w:eastAsia="仿宋_GB2312"/>
        </w:rPr>
        <w:t xml:space="preserve"> 三、    采购项目一览表</w:t>
      </w:r>
    </w:p>
    <w:tbl>
      <w:tblPr>
        <w:tblW w:w="0" w:type="auto"/>
        <w:tblBorders>
          <w:top w:val="none" w:color="000000" w:sz="4"/>
          <w:left w:val="none" w:color="000000" w:sz="4"/>
          <w:bottom w:val="none" w:color="000000" w:sz="4"/>
          <w:right w:val="none" w:color="000000" w:sz="4"/>
          <w:insideH w:val="none"/>
          <w:insideV w:val="none"/>
        </w:tblBorders>
      </w:tblPr>
      <w:tblGrid>
        <w:gridCol w:w="2797"/>
        <w:gridCol w:w="1187"/>
        <w:gridCol w:w="2034"/>
        <w:gridCol w:w="2288"/>
      </w:tblGrid>
      <w:tr>
        <w:tc>
          <w:tcPr>
            <w:tcW w:type="dxa" w:w="2797"/>
            <w:shd w:fill="EEECE1"/>
            <w:tcMar>
              <w:top w:type="dxa" w:w="0"/>
              <w:left w:type="dxa" w:w="105"/>
              <w:bottom w:type="dxa" w:w="0"/>
              <w:right w:type="dxa" w:w="105"/>
            </w:tcMar>
          </w:tcPr>
          <w:p>
            <w:pPr>
              <w:pStyle w:val="null3"/>
              <w:ind w:firstLine="480"/>
              <w:jc w:val="center"/>
            </w:pPr>
            <w:r>
              <w:rPr>
                <w:rFonts w:ascii="仿宋_GB2312" w:hAnsi="仿宋_GB2312" w:cs="仿宋_GB2312" w:eastAsia="仿宋_GB2312"/>
                <w:sz w:val="20"/>
                <w:b/>
                <w:color w:val="000000"/>
              </w:rPr>
              <w:t>标的名称</w:t>
            </w:r>
          </w:p>
        </w:tc>
        <w:tc>
          <w:tcPr>
            <w:tcW w:type="dxa" w:w="1187"/>
            <w:tcBorders>
              <w:top w:val="single" w:color="000000" w:sz="8"/>
              <w:left w:val="none" w:color="000000" w:sz="4"/>
              <w:bottom w:val="single" w:color="000000" w:sz="4"/>
              <w:right w:val="single" w:color="000000" w:sz="4"/>
            </w:tcBorders>
            <w:shd w:fill="EEECE1"/>
            <w:tcMar>
              <w:top w:type="dxa" w:w="0"/>
              <w:left w:type="dxa" w:w="105"/>
              <w:bottom w:type="dxa" w:w="0"/>
              <w:right w:type="dxa" w:w="105"/>
            </w:tcMar>
          </w:tcPr>
          <w:p>
            <w:pPr>
              <w:pStyle w:val="null3"/>
              <w:ind w:firstLine="480"/>
              <w:jc w:val="center"/>
            </w:pPr>
            <w:r>
              <w:rPr>
                <w:rFonts w:ascii="仿宋_GB2312" w:hAnsi="仿宋_GB2312" w:cs="仿宋_GB2312" w:eastAsia="仿宋_GB2312"/>
                <w:sz w:val="20"/>
                <w:b/>
                <w:color w:val="000000"/>
              </w:rPr>
              <w:t>数量</w:t>
            </w:r>
          </w:p>
        </w:tc>
        <w:tc>
          <w:tcPr>
            <w:tcW w:type="dxa" w:w="2034"/>
            <w:tcBorders>
              <w:top w:val="single" w:color="000000" w:sz="8"/>
              <w:left w:val="none" w:color="000000" w:sz="4"/>
              <w:bottom w:val="single" w:color="000000" w:sz="4"/>
              <w:right w:val="single" w:color="000000" w:sz="4"/>
            </w:tcBorders>
            <w:shd w:fill="EEECE1"/>
            <w:tcMar>
              <w:top w:type="dxa" w:w="0"/>
              <w:left w:type="dxa" w:w="105"/>
              <w:bottom w:type="dxa" w:w="0"/>
              <w:right w:type="dxa" w:w="105"/>
            </w:tcMar>
          </w:tcPr>
          <w:p>
            <w:pPr>
              <w:pStyle w:val="null3"/>
              <w:ind w:firstLine="480"/>
              <w:jc w:val="center"/>
            </w:pPr>
            <w:r>
              <w:rPr>
                <w:rFonts w:ascii="仿宋_GB2312" w:hAnsi="仿宋_GB2312" w:cs="仿宋_GB2312" w:eastAsia="仿宋_GB2312"/>
                <w:sz w:val="20"/>
                <w:b/>
                <w:color w:val="000000"/>
              </w:rPr>
              <w:t>最高限价</w:t>
            </w:r>
          </w:p>
          <w:p>
            <w:pPr>
              <w:pStyle w:val="null3"/>
              <w:ind w:firstLine="480"/>
              <w:jc w:val="center"/>
            </w:pPr>
            <w:r>
              <w:rPr>
                <w:rFonts w:ascii="仿宋_GB2312" w:hAnsi="仿宋_GB2312" w:cs="仿宋_GB2312" w:eastAsia="仿宋_GB2312"/>
                <w:sz w:val="20"/>
                <w:b/>
                <w:color w:val="000000"/>
              </w:rPr>
              <w:t>（人民币  元）</w:t>
            </w:r>
          </w:p>
        </w:tc>
        <w:tc>
          <w:tcPr>
            <w:tcW w:type="dxa" w:w="2288"/>
            <w:tcBorders>
              <w:top w:val="single" w:color="000000" w:sz="8"/>
              <w:left w:val="none" w:color="000000" w:sz="4"/>
              <w:bottom w:val="single" w:color="000000" w:sz="4"/>
              <w:right w:val="single" w:color="000000" w:sz="8"/>
            </w:tcBorders>
            <w:shd w:fill="EEECE1"/>
            <w:tcMar>
              <w:top w:type="dxa" w:w="0"/>
              <w:left w:type="dxa" w:w="105"/>
              <w:bottom w:type="dxa" w:w="0"/>
              <w:right w:type="dxa" w:w="105"/>
            </w:tcMar>
          </w:tcPr>
          <w:p>
            <w:pPr>
              <w:pStyle w:val="null3"/>
              <w:ind w:firstLine="480"/>
              <w:jc w:val="center"/>
            </w:pPr>
            <w:r>
              <w:rPr>
                <w:rFonts w:ascii="仿宋_GB2312" w:hAnsi="仿宋_GB2312" w:cs="仿宋_GB2312" w:eastAsia="仿宋_GB2312"/>
                <w:sz w:val="20"/>
                <w:b/>
                <w:color w:val="000000"/>
              </w:rPr>
              <w:t>所属行业</w:t>
            </w:r>
          </w:p>
        </w:tc>
      </w:tr>
      <w:tr>
        <w:tc>
          <w:tcPr>
            <w:tcW w:type="dxa" w:w="2797"/>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国家税务总局广州市税务局广州市数字政府对接技术支持服务项目</w:t>
            </w:r>
          </w:p>
        </w:tc>
        <w:tc>
          <w:tcPr>
            <w:tcW w:type="dxa" w:w="1187"/>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w:t>
            </w:r>
            <w:r>
              <w:rPr>
                <w:rFonts w:ascii="仿宋_GB2312" w:hAnsi="仿宋_GB2312" w:cs="仿宋_GB2312" w:eastAsia="仿宋_GB2312"/>
                <w:sz w:val="20"/>
              </w:rPr>
              <w:t>项</w:t>
            </w:r>
          </w:p>
        </w:tc>
        <w:tc>
          <w:tcPr>
            <w:tcW w:type="dxa" w:w="2034"/>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w:t>
            </w:r>
            <w:r>
              <w:rPr>
                <w:rFonts w:ascii="仿宋_GB2312" w:hAnsi="仿宋_GB2312" w:cs="仿宋_GB2312" w:eastAsia="仿宋_GB2312"/>
                <w:sz w:val="20"/>
              </w:rPr>
              <w:t>20</w:t>
            </w:r>
            <w:r>
              <w:rPr>
                <w:rFonts w:ascii="仿宋_GB2312" w:hAnsi="仿宋_GB2312" w:cs="仿宋_GB2312" w:eastAsia="仿宋_GB2312"/>
                <w:sz w:val="20"/>
              </w:rPr>
              <w:t>0,000.00</w:t>
            </w:r>
          </w:p>
        </w:tc>
        <w:tc>
          <w:tcPr>
            <w:tcW w:type="dxa" w:w="22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ind w:right="-300" w:firstLine="480"/>
              <w:jc w:val="both"/>
            </w:pPr>
            <w:r>
              <w:rPr>
                <w:rFonts w:ascii="仿宋_GB2312" w:hAnsi="仿宋_GB2312" w:cs="仿宋_GB2312" w:eastAsia="仿宋_GB2312"/>
                <w:sz w:val="20"/>
              </w:rPr>
              <w:t>软件和信息技术服务业</w:t>
            </w:r>
          </w:p>
        </w:tc>
      </w:tr>
    </w:tbl>
    <w:p>
      <w:pPr>
        <w:pStyle w:val="null3"/>
        <w:jc w:val="left"/>
      </w:pPr>
      <w:r>
        <w:br/>
      </w:r>
      <w:r>
        <w:rPr>
          <w:rFonts w:ascii="仿宋_GB2312" w:hAnsi="仿宋_GB2312" w:cs="仿宋_GB2312" w:eastAsia="仿宋_GB2312"/>
        </w:rPr>
        <w:t xml:space="preserve"> 四、    技术要求</w:t>
      </w:r>
      <w:r>
        <w:br/>
      </w:r>
      <w:r>
        <w:rPr>
          <w:rFonts w:ascii="仿宋_GB2312" w:hAnsi="仿宋_GB2312" w:cs="仿宋_GB2312" w:eastAsia="仿宋_GB2312"/>
        </w:rPr>
        <w:t xml:space="preserve"> 1.项目背景</w:t>
      </w:r>
      <w:r>
        <w:br/>
      </w:r>
      <w:r>
        <w:rPr>
          <w:rFonts w:ascii="仿宋_GB2312" w:hAnsi="仿宋_GB2312" w:cs="仿宋_GB2312" w:eastAsia="仿宋_GB2312"/>
        </w:rPr>
        <w:t xml:space="preserve"> 在贯彻落实《关于进一步深化税收征管改革的意见》、推动征管改革过程中，市税务局前期基于市政数局区块链平台和广东税务区块链平台搭建了10个业务协同场景，实现了与多个政府部门的业务协同。为进一步响应税务部门与广州数字政府的用数协同和场景拓展应用能力，需持续对已上线场景进行维护和优化完善，并结合政策变化要求，拓展新的应用场景，进一步提升在信息系统支持下完成复杂的多链条、多环节事项办理的效率，增强便利度，减少各环节中的处理时长，同时保证各主体应有的参与、决策动作，税务部门发挥着重要作用，实现数据落地、生意在广州粘和、税收在广州实现。</w:t>
      </w:r>
      <w:r>
        <w:br/>
      </w:r>
      <w:r>
        <w:rPr>
          <w:rFonts w:ascii="仿宋_GB2312" w:hAnsi="仿宋_GB2312" w:cs="仿宋_GB2312" w:eastAsia="仿宋_GB2312"/>
        </w:rPr>
        <w:t xml:space="preserve"> 2.项目概述</w:t>
      </w:r>
      <w:r>
        <w:br/>
      </w:r>
      <w:r>
        <w:rPr>
          <w:rFonts w:ascii="仿宋_GB2312" w:hAnsi="仿宋_GB2312" w:cs="仿宋_GB2312" w:eastAsia="仿宋_GB2312"/>
        </w:rPr>
        <w:t xml:space="preserve"> 2.1 项目目标</w:t>
      </w:r>
      <w:r>
        <w:br/>
      </w:r>
      <w:r>
        <w:rPr>
          <w:rFonts w:ascii="仿宋_GB2312" w:hAnsi="仿宋_GB2312" w:cs="仿宋_GB2312" w:eastAsia="仿宋_GB2312"/>
        </w:rPr>
        <w:t xml:space="preserve"> 通过运营基于市政数局区块链平台和广东税务区块链平台的跨政府部门业务协同场景，充分利用省局可视化开发超市、省局全景展示、省局大数据平台已有的数据和数据获取手段，如数据库、文件系统、应用接口等，延续已有的系统资源和数据资产，持续开展与广州市数字政府对接技术运营服务，优化完善相应系统功能，提供各场景数据分析和统计服务，并根据业务需求持续拓展区块链应用场景，确保跨政府部门业务协同工作的顺利开展。同时，做好与第三方服务的技术对接，持续拓展智能外呼和地理信息监控功能，保障广州市办税服务有序、平稳运行。</w:t>
      </w:r>
      <w:r>
        <w:br/>
      </w:r>
      <w:r>
        <w:rPr>
          <w:rFonts w:ascii="仿宋_GB2312" w:hAnsi="仿宋_GB2312" w:cs="仿宋_GB2312" w:eastAsia="仿宋_GB2312"/>
        </w:rPr>
        <w:t xml:space="preserve"> 2.2 项目内容</w:t>
      </w:r>
      <w:r>
        <w:br/>
      </w:r>
      <w:r>
        <w:rPr>
          <w:rFonts w:ascii="仿宋_GB2312" w:hAnsi="仿宋_GB2312" w:cs="仿宋_GB2312" w:eastAsia="仿宋_GB2312"/>
        </w:rPr>
        <w:t xml:space="preserve"> 本项目包括以下内容：</w:t>
      </w:r>
      <w:r>
        <w:br/>
      </w:r>
      <w:r>
        <w:rPr>
          <w:rFonts w:ascii="仿宋_GB2312" w:hAnsi="仿宋_GB2312" w:cs="仿宋_GB2312" w:eastAsia="仿宋_GB2312"/>
        </w:rPr>
        <w:t xml:space="preserve">     一、通过运营基于市政数局区块链平台和广东税务区块链平台的跨政府部门业务协同场景，延续已有的系统资源和数据资产，开展持续性的系统业务运营服务，持续优化完善相应系统功能，保障广州市的办税服务有序、平稳运行。</w:t>
      </w:r>
      <w:r>
        <w:br/>
      </w:r>
      <w:r>
        <w:rPr>
          <w:rFonts w:ascii="仿宋_GB2312" w:hAnsi="仿宋_GB2312" w:cs="仿宋_GB2312" w:eastAsia="仿宋_GB2312"/>
        </w:rPr>
        <w:t xml:space="preserve">     二、根据业务部门提出的业务需求，基于区块链平台持续拓展应用场景和应用范围，根据用数需求提供协同场景应用情况及成效等方面的分析数据，进一步促进跨政府部门业务协同工作的开展，在系统支持下完成复杂的多链条、多环节事项办理，增强便利度。</w:t>
      </w:r>
      <w:r>
        <w:br/>
      </w:r>
      <w:r>
        <w:rPr>
          <w:rFonts w:ascii="仿宋_GB2312" w:hAnsi="仿宋_GB2312" w:cs="仿宋_GB2312" w:eastAsia="仿宋_GB2312"/>
        </w:rPr>
        <w:t xml:space="preserve">     三、针对基层单位日常大量需要联系纳税人的电话核查、辅导工作，完成与第三方服务商的技术对接，帮助开展纳税人电话实名信息核查。</w:t>
      </w:r>
      <w:r>
        <w:br/>
      </w:r>
      <w:r>
        <w:rPr>
          <w:rFonts w:ascii="仿宋_GB2312" w:hAnsi="仿宋_GB2312" w:cs="仿宋_GB2312" w:eastAsia="仿宋_GB2312"/>
        </w:rPr>
        <w:t xml:space="preserve">     四、根据业务部门统计分析需求，定期提供地理信息系统利用成效分析报告的底层依赖数据及相关图表。</w:t>
      </w:r>
      <w:r>
        <w:br/>
      </w:r>
      <w:r>
        <w:rPr>
          <w:rFonts w:ascii="仿宋_GB2312" w:hAnsi="仿宋_GB2312" w:cs="仿宋_GB2312" w:eastAsia="仿宋_GB2312"/>
        </w:rPr>
        <w:t xml:space="preserve">     五、提供数据分析服务，提供相关工具以及相应的培训和技术指导。</w:t>
      </w:r>
      <w:r>
        <w:br/>
      </w:r>
      <w:r>
        <w:rPr>
          <w:rFonts w:ascii="仿宋_GB2312" w:hAnsi="仿宋_GB2312" w:cs="仿宋_GB2312" w:eastAsia="仿宋_GB2312"/>
        </w:rPr>
        <w:t xml:space="preserve"> 3.项目业务需求</w:t>
      </w:r>
      <w:r>
        <w:br/>
      </w:r>
      <w:r>
        <w:rPr>
          <w:rFonts w:ascii="仿宋_GB2312" w:hAnsi="仿宋_GB2312" w:cs="仿宋_GB2312" w:eastAsia="仿宋_GB2312"/>
        </w:rPr>
        <w:t xml:space="preserve"> 项目涉及业务运作分析及按要求提供数据支持服务。具体工作内容如下：</w:t>
      </w:r>
      <w:r>
        <w:br/>
      </w:r>
      <w:r>
        <w:rPr>
          <w:rFonts w:ascii="仿宋_GB2312" w:hAnsi="仿宋_GB2312" w:cs="仿宋_GB2312" w:eastAsia="仿宋_GB2312"/>
        </w:rPr>
        <w:t xml:space="preserve"> 3.1区块链场景运营服务</w:t>
      </w:r>
      <w:r>
        <w:br/>
      </w:r>
      <w:r>
        <w:rPr>
          <w:rFonts w:ascii="仿宋_GB2312" w:hAnsi="仿宋_GB2312" w:cs="仿宋_GB2312" w:eastAsia="仿宋_GB2312"/>
        </w:rPr>
        <w:t xml:space="preserve"> 3.1.1 接入区块链平台运营保障</w:t>
      </w:r>
      <w:r>
        <w:br/>
      </w:r>
      <w:r>
        <w:rPr>
          <w:rFonts w:ascii="仿宋_GB2312" w:hAnsi="仿宋_GB2312" w:cs="仿宋_GB2312" w:eastAsia="仿宋_GB2312"/>
        </w:rPr>
        <w:t xml:space="preserve"> 跨政府部门业务协同通过区块链实现，目前通过两条链路连接，一是通过省局（总局）区块链连接市政数局区块链，另一种是直接连接市政数局区块链。因此，需要维护与省局（总局）区块链、市政数局区块链的联通，出现问题时，能及时响应并快速解决问题，保证业务的正常运行。</w:t>
      </w:r>
      <w:r>
        <w:br/>
      </w:r>
      <w:r>
        <w:rPr>
          <w:rFonts w:ascii="仿宋_GB2312" w:hAnsi="仿宋_GB2312" w:cs="仿宋_GB2312" w:eastAsia="仿宋_GB2312"/>
        </w:rPr>
        <w:t xml:space="preserve"> 3.1.2 实施与新区块链平台的对接改造</w:t>
      </w:r>
      <w:r>
        <w:br/>
      </w:r>
      <w:r>
        <w:rPr>
          <w:rFonts w:ascii="仿宋_GB2312" w:hAnsi="仿宋_GB2312" w:cs="仿宋_GB2312" w:eastAsia="仿宋_GB2312"/>
        </w:rPr>
        <w:t xml:space="preserve"> 市政务区块链升级改造完成后，我们目前运行的区块链场景需要按照新区块链平台标准进行改造，实现跟新平台的对接，并配合做好相关数据的迁移。</w:t>
      </w:r>
      <w:r>
        <w:br/>
      </w:r>
      <w:r>
        <w:rPr>
          <w:rFonts w:ascii="仿宋_GB2312" w:hAnsi="仿宋_GB2312" w:cs="仿宋_GB2312" w:eastAsia="仿宋_GB2312"/>
        </w:rPr>
        <w:t xml:space="preserve"> 3.1.3接入省局MPP库运营保障</w:t>
      </w:r>
      <w:r>
        <w:br/>
      </w:r>
      <w:r>
        <w:rPr>
          <w:rFonts w:ascii="仿宋_GB2312" w:hAnsi="仿宋_GB2312" w:cs="仿宋_GB2312" w:eastAsia="仿宋_GB2312"/>
        </w:rPr>
        <w:t xml:space="preserve"> 跨部门业务系统场景使用省局MPP库存储业务数据，需维护数据库正常连接，出现问题时，能及时响应并快速解决问题，保障业务的连贯性和稳定性。</w:t>
      </w:r>
      <w:r>
        <w:br/>
      </w:r>
      <w:r>
        <w:rPr>
          <w:rFonts w:ascii="仿宋_GB2312" w:hAnsi="仿宋_GB2312" w:cs="仿宋_GB2312" w:eastAsia="仿宋_GB2312"/>
        </w:rPr>
        <w:t xml:space="preserve"> 3.1.4接入省局可视化开发超市运营保障</w:t>
      </w:r>
      <w:r>
        <w:br/>
      </w:r>
      <w:r>
        <w:rPr>
          <w:rFonts w:ascii="仿宋_GB2312" w:hAnsi="仿宋_GB2312" w:cs="仿宋_GB2312" w:eastAsia="仿宋_GB2312"/>
        </w:rPr>
        <w:t xml:space="preserve"> 采用省局可视化开发超市对发票数据交换的结果进行可视化展示及查询，需维护接口连接的可用性，出现问题时，能及时响应并快速解决问题，保障业务的连贯性和稳定性。</w:t>
      </w:r>
      <w:r>
        <w:br/>
      </w:r>
      <w:r>
        <w:rPr>
          <w:rFonts w:ascii="仿宋_GB2312" w:hAnsi="仿宋_GB2312" w:cs="仿宋_GB2312" w:eastAsia="仿宋_GB2312"/>
        </w:rPr>
        <w:t xml:space="preserve"> 3.1.5账本运营保障</w:t>
      </w:r>
      <w:r>
        <w:br/>
      </w:r>
      <w:r>
        <w:rPr>
          <w:rFonts w:ascii="仿宋_GB2312" w:hAnsi="仿宋_GB2312" w:cs="仿宋_GB2312" w:eastAsia="仿宋_GB2312"/>
        </w:rPr>
        <w:t xml:space="preserve"> 各业务协同场景在市政数局区块链平台上建立用于进行数据交换的上下链账本，对账本进行初始化配置及维护，出现问题时，能及时响应并快速解决问题，保障业务的连贯性和稳定性。</w:t>
      </w:r>
      <w:r>
        <w:br/>
      </w:r>
      <w:r>
        <w:rPr>
          <w:rFonts w:ascii="仿宋_GB2312" w:hAnsi="仿宋_GB2312" w:cs="仿宋_GB2312" w:eastAsia="仿宋_GB2312"/>
        </w:rPr>
        <w:t xml:space="preserve"> 3.1.6接入省局大数据平台接口运营保障</w:t>
      </w:r>
      <w:r>
        <w:br/>
      </w:r>
      <w:r>
        <w:rPr>
          <w:rFonts w:ascii="仿宋_GB2312" w:hAnsi="仿宋_GB2312" w:cs="仿宋_GB2312" w:eastAsia="仿宋_GB2312"/>
        </w:rPr>
        <w:t xml:space="preserve"> “区块链+破产清算”场景中的财产信息管理模块使用省局大数据平台接口获取破产清算企业的相关信息，需要维护接口连接的可用性，出现问题时，能及时响应并快速解决问题，保障业务的连贯性和稳定性。</w:t>
      </w:r>
      <w:r>
        <w:br/>
      </w:r>
      <w:r>
        <w:rPr>
          <w:rFonts w:ascii="仿宋_GB2312" w:hAnsi="仿宋_GB2312" w:cs="仿宋_GB2312" w:eastAsia="仿宋_GB2312"/>
        </w:rPr>
        <w:t xml:space="preserve"> 3.1.7核查接口运营保障</w:t>
      </w:r>
      <w:r>
        <w:br/>
      </w:r>
      <w:r>
        <w:rPr>
          <w:rFonts w:ascii="仿宋_GB2312" w:hAnsi="仿宋_GB2312" w:cs="仿宋_GB2312" w:eastAsia="仿宋_GB2312"/>
        </w:rPr>
        <w:t xml:space="preserve"> 为保证业务接口通畅运作，需定期进行监控和维护。要提供多元化的技术支持服务方式，包括内网邮箱、电话、网上支持、培训等，来有力的支撑接口的维护管理。如交互数据发生变化，需及时对接口进行更新。</w:t>
      </w:r>
      <w:r>
        <w:br/>
      </w:r>
      <w:r>
        <w:rPr>
          <w:rFonts w:ascii="仿宋_GB2312" w:hAnsi="仿宋_GB2312" w:cs="仿宋_GB2312" w:eastAsia="仿宋_GB2312"/>
        </w:rPr>
        <w:t xml:space="preserve"> 3.2拓展场景应用范围及提供数据分析服务</w:t>
      </w:r>
      <w:r>
        <w:br/>
      </w:r>
      <w:r>
        <w:rPr>
          <w:rFonts w:ascii="仿宋_GB2312" w:hAnsi="仿宋_GB2312" w:cs="仿宋_GB2312" w:eastAsia="仿宋_GB2312"/>
        </w:rPr>
        <w:t xml:space="preserve"> 根据市政府业务部门的用数需要和政策变化，基于区块链平台进一步拓展新应用场景，包括拓展以旧换新协同场景的应用范围，为广州市加力支持消费品以旧换新提供数据支撑。</w:t>
      </w:r>
      <w:r>
        <w:br/>
      </w:r>
      <w:r>
        <w:rPr>
          <w:rFonts w:ascii="仿宋_GB2312" w:hAnsi="仿宋_GB2312" w:cs="仿宋_GB2312" w:eastAsia="仿宋_GB2312"/>
        </w:rPr>
        <w:t xml:space="preserve"> 3.2.1拓展以旧换新发票核验范围</w:t>
      </w:r>
      <w:r>
        <w:br/>
      </w:r>
      <w:r>
        <w:rPr>
          <w:rFonts w:ascii="仿宋_GB2312" w:hAnsi="仿宋_GB2312" w:cs="仿宋_GB2312" w:eastAsia="仿宋_GB2312"/>
        </w:rPr>
        <w:t xml:space="preserve"> 目前以旧换新场景通过接入省局区块链、市政数局区块链平台，与市商务局实现了家电和家装类商品发票的核验。下阶段将延续以旧换新场景应用，根据需求优化协同业务数据项，并拓展核验的发票范围，增加电动自行车、餐饮等发票的核验。同时，根据业务需求，发票核验范围可以不限于以旧换新涉及的商品范围，其他政府部门涉及发票核验的需求都可以纳入到该场景中。</w:t>
      </w:r>
      <w:r>
        <w:br/>
      </w:r>
      <w:r>
        <w:rPr>
          <w:rFonts w:ascii="仿宋_GB2312" w:hAnsi="仿宋_GB2312" w:cs="仿宋_GB2312" w:eastAsia="仿宋_GB2312"/>
        </w:rPr>
        <w:t xml:space="preserve"> 3.2.2 拓展区块链新应用场景</w:t>
      </w:r>
      <w:r>
        <w:br/>
      </w:r>
      <w:r>
        <w:rPr>
          <w:rFonts w:ascii="仿宋_GB2312" w:hAnsi="仿宋_GB2312" w:cs="仿宋_GB2312" w:eastAsia="仿宋_GB2312"/>
        </w:rPr>
        <w:t xml:space="preserve"> 进一步融入广州市数字政府建设，根据业务部门需求持续拓展区块链在税费业务领域的应用，构建新的应用场景，促进跨政府部门业务协同工作的开展，提升工作效率。</w:t>
      </w:r>
      <w:r>
        <w:br/>
      </w:r>
      <w:r>
        <w:rPr>
          <w:rFonts w:ascii="仿宋_GB2312" w:hAnsi="仿宋_GB2312" w:cs="仿宋_GB2312" w:eastAsia="仿宋_GB2312"/>
        </w:rPr>
        <w:t xml:space="preserve"> 3.2.3建立数据分析统计报表</w:t>
      </w:r>
      <w:r>
        <w:br/>
      </w:r>
      <w:r>
        <w:rPr>
          <w:rFonts w:ascii="仿宋_GB2312" w:hAnsi="仿宋_GB2312" w:cs="仿宋_GB2312" w:eastAsia="仿宋_GB2312"/>
        </w:rPr>
        <w:t xml:space="preserve"> 根据业务实际需求，建立数据分析统计报表。如针对消费品以旧换新发票核验场景，针对每类商品发票核验数据建立但不限于以下数据分析报表：</w:t>
      </w:r>
      <w:r>
        <w:br/>
      </w:r>
      <w:r>
        <w:rPr>
          <w:rFonts w:ascii="仿宋_GB2312" w:hAnsi="仿宋_GB2312" w:cs="仿宋_GB2312" w:eastAsia="仿宋_GB2312"/>
        </w:rPr>
        <w:t xml:space="preserve"> （1）    以旧换新发票核验情况总表</w:t>
      </w:r>
      <w:r>
        <w:br/>
      </w:r>
      <w:r>
        <w:rPr>
          <w:rFonts w:ascii="仿宋_GB2312" w:hAnsi="仿宋_GB2312" w:cs="仿宋_GB2312" w:eastAsia="仿宋_GB2312"/>
        </w:rPr>
        <w:t xml:space="preserve"> （2）    以旧换新发票匹配相符统计表</w:t>
      </w:r>
      <w:r>
        <w:br/>
      </w:r>
      <w:r>
        <w:rPr>
          <w:rFonts w:ascii="仿宋_GB2312" w:hAnsi="仿宋_GB2312" w:cs="仿宋_GB2312" w:eastAsia="仿宋_GB2312"/>
        </w:rPr>
        <w:t xml:space="preserve"> （3）    以旧换新发票核验不匹配统计表</w:t>
      </w:r>
      <w:r>
        <w:br/>
      </w:r>
      <w:r>
        <w:rPr>
          <w:rFonts w:ascii="仿宋_GB2312" w:hAnsi="仿宋_GB2312" w:cs="仿宋_GB2312" w:eastAsia="仿宋_GB2312"/>
        </w:rPr>
        <w:t xml:space="preserve"> （4）    以旧换新发票核验状态变更统计表</w:t>
      </w:r>
      <w:r>
        <w:br/>
      </w:r>
      <w:r>
        <w:rPr>
          <w:rFonts w:ascii="仿宋_GB2312" w:hAnsi="仿宋_GB2312" w:cs="仿宋_GB2312" w:eastAsia="仿宋_GB2312"/>
        </w:rPr>
        <w:t xml:space="preserve"> （5）    以旧换新统计表（按企业）</w:t>
      </w:r>
      <w:r>
        <w:br/>
      </w:r>
      <w:r>
        <w:rPr>
          <w:rFonts w:ascii="仿宋_GB2312" w:hAnsi="仿宋_GB2312" w:cs="仿宋_GB2312" w:eastAsia="仿宋_GB2312"/>
        </w:rPr>
        <w:t xml:space="preserve"> （6）    以旧换新统计表（按主管税务机关）</w:t>
      </w:r>
      <w:r>
        <w:br/>
      </w:r>
      <w:r>
        <w:rPr>
          <w:rFonts w:ascii="仿宋_GB2312" w:hAnsi="仿宋_GB2312" w:cs="仿宋_GB2312" w:eastAsia="仿宋_GB2312"/>
        </w:rPr>
        <w:t xml:space="preserve"> 定期对数据分析报表进行维护与检查，出现问题时，能及时响应并快速解决问题，保障业务的实时性和准确性。</w:t>
      </w:r>
      <w:r>
        <w:br/>
      </w:r>
      <w:r>
        <w:rPr>
          <w:rFonts w:ascii="仿宋_GB2312" w:hAnsi="仿宋_GB2312" w:cs="仿宋_GB2312" w:eastAsia="仿宋_GB2312"/>
        </w:rPr>
        <w:t xml:space="preserve"> 3.2.4 协助开展业务分析</w:t>
      </w:r>
      <w:r>
        <w:br/>
      </w:r>
      <w:r>
        <w:rPr>
          <w:rFonts w:ascii="仿宋_GB2312" w:hAnsi="仿宋_GB2312" w:cs="仿宋_GB2312" w:eastAsia="仿宋_GB2312"/>
        </w:rPr>
        <w:t xml:space="preserve">     根据业务部门的需求和口径，提供相关协同场景应用情况及成效等方面的数据，协助业务部门开展业务分析。</w:t>
      </w:r>
      <w:r>
        <w:br/>
      </w:r>
      <w:r>
        <w:rPr>
          <w:rFonts w:ascii="仿宋_GB2312" w:hAnsi="仿宋_GB2312" w:cs="仿宋_GB2312" w:eastAsia="仿宋_GB2312"/>
        </w:rPr>
        <w:t xml:space="preserve"> 3.3电话实名信息核查业务对接</w:t>
      </w:r>
      <w:r>
        <w:br/>
      </w:r>
      <w:r>
        <w:rPr>
          <w:rFonts w:ascii="仿宋_GB2312" w:hAnsi="仿宋_GB2312" w:cs="仿宋_GB2312" w:eastAsia="仿宋_GB2312"/>
        </w:rPr>
        <w:t xml:space="preserve"> 完成与第三方服务商的接口对接，实现电话号码状态核查和电话实名信息核查，帮助局方开展征管基础信息管理，助力管控执法风险。</w:t>
      </w:r>
      <w:r>
        <w:br/>
      </w:r>
      <w:r>
        <w:rPr>
          <w:rFonts w:ascii="仿宋_GB2312" w:hAnsi="仿宋_GB2312" w:cs="仿宋_GB2312" w:eastAsia="仿宋_GB2312"/>
        </w:rPr>
        <w:t xml:space="preserve"> 3.3.1电话号码状态及实名信息核查</w:t>
      </w:r>
      <w:r>
        <w:br/>
      </w:r>
      <w:r>
        <w:rPr>
          <w:rFonts w:ascii="仿宋_GB2312" w:hAnsi="仿宋_GB2312" w:cs="仿宋_GB2312" w:eastAsia="仿宋_GB2312"/>
        </w:rPr>
        <w:t xml:space="preserve"> 提供有效手段获取用户导入的清单，通过接口提供电话号码、身份证号或姓名，获取该号码的状态及对号码实名信息真实性的判定，帮助识别虚假登记、追寻非正常户，从而为登记、核定及其他需要联系纳税人的工作提供参考信息。实现省局应用支撑平台与局方签约的第三方服务商之间的技术对接，完成相关推广应用工作。对不同的业务系统、数据来源或者数据平台进行集成，根据业务需求和数据特点建立灵活的数据接口，统一不同系统间的数据格式、数据编码等，实现对数据共享、传输、流动，适应不同系统间的数据交互和整合需求，确保系统间更好地协同工作，提高数据处理效率和质量，确保数据传输安全、可控、高效。</w:t>
      </w:r>
      <w:r>
        <w:br/>
      </w:r>
      <w:r>
        <w:rPr>
          <w:rFonts w:ascii="仿宋_GB2312" w:hAnsi="仿宋_GB2312" w:cs="仿宋_GB2312" w:eastAsia="仿宋_GB2312"/>
        </w:rPr>
        <w:t xml:space="preserve"> 3.3.2规则化核查</w:t>
      </w:r>
      <w:r>
        <w:br/>
      </w:r>
      <w:r>
        <w:rPr>
          <w:rFonts w:ascii="仿宋_GB2312" w:hAnsi="仿宋_GB2312" w:cs="仿宋_GB2312" w:eastAsia="仿宋_GB2312"/>
        </w:rPr>
        <w:t xml:space="preserve"> 提供数据分析服务，帮助业务部门制定自动化核查的规则，并根据规则发起核查。需运用适当的数据统计分析方法对相关系统数据进行汇总、分析和可视化，提取有用信息，最大化地挖掘数据功能和发挥数据作用，为相关业务主管部门开展业务运行监督、监控和后续管理提供日常数据分析服务。包括但不限于支持系统用户对数据筛选条件进行查询并输出整体执行数据，为业务系统的数据传输提供分析服务，监控传输数据状态，为业务决策提供更为及时、准确的数据支持。</w:t>
      </w:r>
      <w:r>
        <w:br/>
      </w:r>
      <w:r>
        <w:rPr>
          <w:rFonts w:ascii="仿宋_GB2312" w:hAnsi="仿宋_GB2312" w:cs="仿宋_GB2312" w:eastAsia="仿宋_GB2312"/>
        </w:rPr>
        <w:t xml:space="preserve"> 3.3.3核查结果分析和管理</w:t>
      </w:r>
      <w:r>
        <w:br/>
      </w:r>
      <w:r>
        <w:rPr>
          <w:rFonts w:ascii="仿宋_GB2312" w:hAnsi="仿宋_GB2312" w:cs="仿宋_GB2312" w:eastAsia="仿宋_GB2312"/>
        </w:rPr>
        <w:t xml:space="preserve"> 对电话号码状态核查和电话实名信息核查后的数据记录进行分析，提取号码状态异常（如空号、停机等）和实名信息不一致的疑点清单，提供给业务部门并辅助开展进一步的数据分析，必要时通过省局税费任务平台发送任务，为数字政府管理提供有效的控管风险的手段。</w:t>
      </w:r>
      <w:r>
        <w:br/>
      </w:r>
      <w:r>
        <w:rPr>
          <w:rFonts w:ascii="仿宋_GB2312" w:hAnsi="仿宋_GB2312" w:cs="仿宋_GB2312" w:eastAsia="仿宋_GB2312"/>
        </w:rPr>
        <w:t xml:space="preserve"> 3.3.4核查接口维护</w:t>
      </w:r>
      <w:r>
        <w:br/>
      </w:r>
      <w:r>
        <w:rPr>
          <w:rFonts w:ascii="仿宋_GB2312" w:hAnsi="仿宋_GB2312" w:cs="仿宋_GB2312" w:eastAsia="仿宋_GB2312"/>
        </w:rPr>
        <w:t xml:space="preserve"> 为保证业务接口通畅运作，需定期进行监控和维护。要提供多元化的技术支持服务方式，包括内网邮箱、电话、网上支持、培训等，来有力的支撑接口的维护管理。如交互数据发生变化，需及时对接口进行更新。要提供监控工具和数据维护工具，并对局方相关人员提供培训服务。</w:t>
      </w:r>
      <w:r>
        <w:br/>
      </w:r>
      <w:r>
        <w:rPr>
          <w:rFonts w:ascii="仿宋_GB2312" w:hAnsi="仿宋_GB2312" w:cs="仿宋_GB2312" w:eastAsia="仿宋_GB2312"/>
        </w:rPr>
        <w:t xml:space="preserve"> 3.4地理信息体系对接</w:t>
      </w:r>
      <w:r>
        <w:br/>
      </w:r>
      <w:r>
        <w:rPr>
          <w:rFonts w:ascii="仿宋_GB2312" w:hAnsi="仿宋_GB2312" w:cs="仿宋_GB2312" w:eastAsia="仿宋_GB2312"/>
        </w:rPr>
        <w:t xml:space="preserve"> 探索与总局“税即视”的对接，完成相关技术对接工作。结合第三方数据，借助“税即视”将重点业务信息属地化、网格化、动态化展示，以业务信息的可视化助力税源“找、盯、管”。对运行情况进行定期监控，提供监控数据分析服务，帮助局方做好后续维护工作。优化“欠税地图”，动态展示辖区内的欠税情况；建立“未办税户地图”，对已进行工商登记、未纳入涉税管理的市场主体进行展示提示；构想“一址多户地图”，为基层开展风险点管理提供便利，降低漏征漏管风险。</w:t>
      </w:r>
      <w:r>
        <w:br/>
      </w:r>
      <w:r>
        <w:rPr>
          <w:rFonts w:ascii="仿宋_GB2312" w:hAnsi="仿宋_GB2312" w:cs="仿宋_GB2312" w:eastAsia="仿宋_GB2312"/>
        </w:rPr>
        <w:t xml:space="preserve"> 3.5地址信息清洗</w:t>
      </w:r>
      <w:r>
        <w:br/>
      </w:r>
      <w:r>
        <w:rPr>
          <w:rFonts w:ascii="仿宋_GB2312" w:hAnsi="仿宋_GB2312" w:cs="仿宋_GB2312" w:eastAsia="仿宋_GB2312"/>
        </w:rPr>
        <w:t xml:space="preserve"> 提供有效手段获取用户导入的清单，通过接口提供纳税人编号和地址信息，获取对该地址信息质量的判定，帮助识别虚假地址和清洗地址，从而为欠税纳税人的追缴工作提供参考信息。实现省局应用支撑平台与局方签约的第三方服务商之间的技术对接，完成相关推广应用工作。对不同的业务系统、数据来源或者数据平台进行集成，根据业务需求和数据特点建立灵活的数据接口，统一不同系统间的数据格式、数据编码等，实现对数据共享、传输、流动，适应不同系统间的数据交互和整合需求，确保系统间更好地协同工作，提高数据处理效率和质量，确保数据传输安全、可控、高效。</w:t>
      </w:r>
      <w:r>
        <w:br/>
      </w:r>
      <w:r>
        <w:rPr>
          <w:rFonts w:ascii="仿宋_GB2312" w:hAnsi="仿宋_GB2312" w:cs="仿宋_GB2312" w:eastAsia="仿宋_GB2312"/>
        </w:rPr>
        <w:t xml:space="preserve"> 五、    商务要求</w:t>
      </w:r>
      <w:r>
        <w:br/>
      </w:r>
      <w:r>
        <w:rPr>
          <w:rFonts w:ascii="仿宋_GB2312" w:hAnsi="仿宋_GB2312" w:cs="仿宋_GB2312" w:eastAsia="仿宋_GB2312"/>
        </w:rPr>
        <w:t xml:space="preserve"> 1.总体要求</w:t>
      </w:r>
      <w:r>
        <w:br/>
      </w:r>
      <w:r>
        <w:rPr>
          <w:rFonts w:ascii="仿宋_GB2312" w:hAnsi="仿宋_GB2312" w:cs="仿宋_GB2312" w:eastAsia="仿宋_GB2312"/>
        </w:rPr>
        <w:t xml:space="preserve"> 投标人应按照采购需求的要求提供详细的运营服务方案。服务实施方案需包括但不限于质量保障措施、服务进度计划、人员管理方案、根据验收标准编制的验收方案等，要求如下：</w:t>
      </w:r>
      <w:r>
        <w:br/>
      </w:r>
      <w:r>
        <w:rPr>
          <w:rFonts w:ascii="仿宋_GB2312" w:hAnsi="仿宋_GB2312" w:cs="仿宋_GB2312" w:eastAsia="仿宋_GB2312"/>
        </w:rPr>
        <w:t xml:space="preserve"> （1）服务目标明确：方案对运营服务要达到的目标要有清晰定义。</w:t>
      </w:r>
      <w:r>
        <w:br/>
      </w:r>
      <w:r>
        <w:rPr>
          <w:rFonts w:ascii="仿宋_GB2312" w:hAnsi="仿宋_GB2312" w:cs="仿宋_GB2312" w:eastAsia="仿宋_GB2312"/>
        </w:rPr>
        <w:t xml:space="preserve"> （2）服务内容完整：方案所列的服务内容要契合项目业务需求，并且要完整具体。</w:t>
      </w:r>
      <w:r>
        <w:br/>
      </w:r>
      <w:r>
        <w:rPr>
          <w:rFonts w:ascii="仿宋_GB2312" w:hAnsi="仿宋_GB2312" w:cs="仿宋_GB2312" w:eastAsia="仿宋_GB2312"/>
        </w:rPr>
        <w:t xml:space="preserve"> （3）人员配置合理：要说明项目服务团队的人员配置，并解释配置的合理性。</w:t>
      </w:r>
      <w:r>
        <w:br/>
      </w:r>
      <w:r>
        <w:rPr>
          <w:rFonts w:ascii="仿宋_GB2312" w:hAnsi="仿宋_GB2312" w:cs="仿宋_GB2312" w:eastAsia="仿宋_GB2312"/>
        </w:rPr>
        <w:t xml:space="preserve"> （4）服务流程规范：应体现标准化的运营服务流程，确保服务高效有序。</w:t>
      </w:r>
      <w:r>
        <w:br/>
      </w:r>
      <w:r>
        <w:rPr>
          <w:rFonts w:ascii="仿宋_GB2312" w:hAnsi="仿宋_GB2312" w:cs="仿宋_GB2312" w:eastAsia="仿宋_GB2312"/>
        </w:rPr>
        <w:t xml:space="preserve"> （5）服务进度保障：制定详细的服务进度计划，并提供有效措施确保计划顺利实施。</w:t>
      </w:r>
      <w:r>
        <w:br/>
      </w:r>
      <w:r>
        <w:rPr>
          <w:rFonts w:ascii="仿宋_GB2312" w:hAnsi="仿宋_GB2312" w:cs="仿宋_GB2312" w:eastAsia="仿宋_GB2312"/>
        </w:rPr>
        <w:t xml:space="preserve"> （6）安全保障可靠：能提供运营服务过程中数据安全、系统安全的保障措施。</w:t>
      </w:r>
      <w:r>
        <w:br/>
      </w:r>
      <w:r>
        <w:rPr>
          <w:rFonts w:ascii="仿宋_GB2312" w:hAnsi="仿宋_GB2312" w:cs="仿宋_GB2312" w:eastAsia="仿宋_GB2312"/>
        </w:rPr>
        <w:t xml:space="preserve"> 投标人还应按照采购需求的要求提供详细的项目管理方案，方案满足如下要求：</w:t>
      </w:r>
      <w:r>
        <w:br/>
      </w:r>
      <w:r>
        <w:rPr>
          <w:rFonts w:ascii="仿宋_GB2312" w:hAnsi="仿宋_GB2312" w:cs="仿宋_GB2312" w:eastAsia="仿宋_GB2312"/>
        </w:rPr>
        <w:t xml:space="preserve"> （1）项目目标明确：要清晰确定项目目标，包括具体功能、性能指标、完成时间等。</w:t>
      </w:r>
      <w:r>
        <w:br/>
      </w:r>
      <w:r>
        <w:rPr>
          <w:rFonts w:ascii="仿宋_GB2312" w:hAnsi="仿宋_GB2312" w:cs="仿宋_GB2312" w:eastAsia="仿宋_GB2312"/>
        </w:rPr>
        <w:t xml:space="preserve"> （2）进度规划合理：制定详细的进度计划，合理划分项目阶段，确定各阶段起止时间。</w:t>
      </w:r>
      <w:r>
        <w:br/>
      </w:r>
      <w:r>
        <w:rPr>
          <w:rFonts w:ascii="仿宋_GB2312" w:hAnsi="仿宋_GB2312" w:cs="仿宋_GB2312" w:eastAsia="仿宋_GB2312"/>
        </w:rPr>
        <w:t xml:space="preserve"> （3）资源分配恰当：配备合适的项目团队人员，合理安排人力资源。</w:t>
      </w:r>
      <w:r>
        <w:br/>
      </w:r>
      <w:r>
        <w:rPr>
          <w:rFonts w:ascii="仿宋_GB2312" w:hAnsi="仿宋_GB2312" w:cs="仿宋_GB2312" w:eastAsia="仿宋_GB2312"/>
        </w:rPr>
        <w:t xml:space="preserve"> （4）风险管理有效：能识别项目潜在风险，并制定应对策略。</w:t>
      </w:r>
      <w:r>
        <w:br/>
      </w:r>
      <w:r>
        <w:rPr>
          <w:rFonts w:ascii="仿宋_GB2312" w:hAnsi="仿宋_GB2312" w:cs="仿宋_GB2312" w:eastAsia="仿宋_GB2312"/>
        </w:rPr>
        <w:t xml:space="preserve"> （5）文档管理规范：有规范的项目文档管理措施，确保文档的完整性和可追溯性。</w:t>
      </w:r>
      <w:r>
        <w:br/>
      </w:r>
      <w:r>
        <w:rPr>
          <w:rFonts w:ascii="仿宋_GB2312" w:hAnsi="仿宋_GB2312" w:cs="仿宋_GB2312" w:eastAsia="仿宋_GB2312"/>
        </w:rPr>
        <w:t xml:space="preserve"> 投标人在其服务实施方案中，对采购需求中所提各项要求能否实现与满足，应逐项诚实地予以说明和答复。投标人亦可根据自己的技术支持服务具体情况，在服务实施方案中提出建议，并附详细资料和说明。</w:t>
      </w:r>
      <w:r>
        <w:br/>
      </w:r>
      <w:r>
        <w:rPr>
          <w:rFonts w:ascii="仿宋_GB2312" w:hAnsi="仿宋_GB2312" w:cs="仿宋_GB2312" w:eastAsia="仿宋_GB2312"/>
        </w:rPr>
        <w:t xml:space="preserve"> 投标人须在按照采购需求的要求提供各项数据支持的服务方案，包含分别针对区块链破产清算、以旧换新的发票数据核查、电话核查辅导的数据分析的具体设计方案和优化建议，提供数据整备、数据分析服务，提供相关工具以及相应的培训和技术指导，要求内容完整，可行性高。</w:t>
      </w:r>
      <w:r>
        <w:br/>
      </w:r>
      <w:r>
        <w:rPr>
          <w:rFonts w:ascii="仿宋_GB2312" w:hAnsi="仿宋_GB2312" w:cs="仿宋_GB2312" w:eastAsia="仿宋_GB2312"/>
        </w:rPr>
        <w:t xml:space="preserve"> 投标人须提供数据检查方案，包括但不限于精度要求、时间特性及负载要求、可靠性，要求数据检查方案完整，可行性高，数据精度高，可靠性强。</w:t>
      </w:r>
      <w:r>
        <w:br/>
      </w:r>
      <w:r>
        <w:rPr>
          <w:rFonts w:ascii="仿宋_GB2312" w:hAnsi="仿宋_GB2312" w:cs="仿宋_GB2312" w:eastAsia="仿宋_GB2312"/>
        </w:rPr>
        <w:t xml:space="preserve"> 中标人需保证满足项目运行所需的全部要求，如有遗漏，投标人应予以补充，否则一旦中标将认为投标人认同遗漏部分，并无偿提供。</w:t>
      </w:r>
      <w:r>
        <w:br/>
      </w:r>
      <w:r>
        <w:rPr>
          <w:rFonts w:ascii="仿宋_GB2312" w:hAnsi="仿宋_GB2312" w:cs="仿宋_GB2312" w:eastAsia="仿宋_GB2312"/>
        </w:rPr>
        <w:t xml:space="preserve"> 2.服务形式与管理</w:t>
      </w:r>
      <w:r>
        <w:br/>
      </w:r>
      <w:r>
        <w:rPr>
          <w:rFonts w:ascii="仿宋_GB2312" w:hAnsi="仿宋_GB2312" w:cs="仿宋_GB2312" w:eastAsia="仿宋_GB2312"/>
        </w:rPr>
        <w:t xml:space="preserve"> 本项目技术支持服务团队以后台技术支持的形式为主开展项目工作，如有需要提供到场服务。项目交付物：项目实施过程中，提交日常工作报告，结束后，应保存相关的取数口径及统计语句，供后续检查。</w:t>
      </w:r>
      <w:r>
        <w:br/>
      </w:r>
      <w:r>
        <w:rPr>
          <w:rFonts w:ascii="仿宋_GB2312" w:hAnsi="仿宋_GB2312" w:cs="仿宋_GB2312" w:eastAsia="仿宋_GB2312"/>
        </w:rPr>
        <w:t xml:space="preserve"> 在服务期间，投标人须按时提交月报；对业务需求（或业务需求变更），应评估工作量，并由采购人审核确认；服务工作结束后，须提交总结报告，由采购人进行评估验收。</w:t>
      </w:r>
      <w:r>
        <w:br/>
      </w:r>
      <w:r>
        <w:rPr>
          <w:rFonts w:ascii="仿宋_GB2312" w:hAnsi="仿宋_GB2312" w:cs="仿宋_GB2312" w:eastAsia="仿宋_GB2312"/>
        </w:rPr>
        <w:t xml:space="preserve"> 投标人应配合采购人进行人员管理，服务人员要服从采购人的日常管理、有关规章制度约束等。</w:t>
      </w:r>
      <w:r>
        <w:br/>
      </w:r>
      <w:r>
        <w:rPr>
          <w:rFonts w:ascii="仿宋_GB2312" w:hAnsi="仿宋_GB2312" w:cs="仿宋_GB2312" w:eastAsia="仿宋_GB2312"/>
        </w:rPr>
        <w:t xml:space="preserve"> 服务地点由采购人指定，往返交通方式及费用、食宿费、办公电脑由投标人自行负责。</w:t>
      </w:r>
      <w:r>
        <w:br/>
      </w:r>
      <w:r>
        <w:rPr>
          <w:rFonts w:ascii="仿宋_GB2312" w:hAnsi="仿宋_GB2312" w:cs="仿宋_GB2312" w:eastAsia="仿宋_GB2312"/>
        </w:rPr>
        <w:t xml:space="preserve"> 3.服务期限要求</w:t>
      </w:r>
      <w:r>
        <w:br/>
      </w:r>
      <w:r>
        <w:rPr>
          <w:rFonts w:ascii="仿宋_GB2312" w:hAnsi="仿宋_GB2312" w:cs="仿宋_GB2312" w:eastAsia="仿宋_GB2312"/>
        </w:rPr>
        <w:t xml:space="preserve"> 本项目服务期限：自合同签订之日起，提供1年或经采购人核定的工作量达到67个人月支持服务。投标人应按照采购人提出的进度安排按时完成工作任务。</w:t>
      </w:r>
      <w:r>
        <w:br/>
      </w:r>
      <w:r>
        <w:rPr>
          <w:rFonts w:ascii="仿宋_GB2312" w:hAnsi="仿宋_GB2312" w:cs="仿宋_GB2312" w:eastAsia="仿宋_GB2312"/>
        </w:rPr>
        <w:t xml:space="preserve"> 4.服务实施地点</w:t>
      </w:r>
      <w:r>
        <w:br/>
      </w:r>
      <w:r>
        <w:rPr>
          <w:rFonts w:ascii="仿宋_GB2312" w:hAnsi="仿宋_GB2312" w:cs="仿宋_GB2312" w:eastAsia="仿宋_GB2312"/>
        </w:rPr>
        <w:t xml:space="preserve"> 广东省广州市内采购人指定办公地点。</w:t>
      </w:r>
      <w:r>
        <w:br/>
      </w:r>
      <w:r>
        <w:rPr>
          <w:rFonts w:ascii="仿宋_GB2312" w:hAnsi="仿宋_GB2312" w:cs="仿宋_GB2312" w:eastAsia="仿宋_GB2312"/>
        </w:rPr>
        <w:t xml:space="preserve"> 5.服务响应要求</w:t>
      </w:r>
      <w:r>
        <w:br/>
      </w:r>
      <w:r>
        <w:rPr>
          <w:rFonts w:ascii="仿宋_GB2312" w:hAnsi="仿宋_GB2312" w:cs="仿宋_GB2312" w:eastAsia="仿宋_GB2312"/>
        </w:rPr>
        <w:t xml:space="preserve"> 在系统出现问题时，要确保在4小时内及时响应，4小时内响应解决不了的，要确保工程师可以在8小时内到现场解决。</w:t>
      </w:r>
      <w:r>
        <w:br/>
      </w:r>
      <w:r>
        <w:rPr>
          <w:rFonts w:ascii="仿宋_GB2312" w:hAnsi="仿宋_GB2312" w:cs="仿宋_GB2312" w:eastAsia="仿宋_GB2312"/>
        </w:rPr>
        <w:t xml:space="preserve"> 6.知识转移和培训</w:t>
      </w:r>
      <w:r>
        <w:br/>
      </w:r>
      <w:r>
        <w:rPr>
          <w:rFonts w:ascii="仿宋_GB2312" w:hAnsi="仿宋_GB2312" w:cs="仿宋_GB2312" w:eastAsia="仿宋_GB2312"/>
        </w:rPr>
        <w:t xml:space="preserve"> 1．服务提供商在项目实施过程中，应及时将服务过程中产生的详细技术资料（包括需求分析文档、设计文档、测试报告、操作手册等）连同软件源代码交付采购人，并向采购人进行知识转移。上述技术文档应包含保证采购人能够正确进行二次开发、测试、部署、培训、推广、监控、验收和持续运行等所需要的所有内容，并使用采购人的需求管理流程及测试管理流程所附模板。对于采购人业务保障工作要求管理的技术文档，服务提供商应按照采购人要求将相关技术文档纳入业务保障平台进行结构化动态管理。</w:t>
      </w:r>
      <w:r>
        <w:br/>
      </w:r>
      <w:r>
        <w:rPr>
          <w:rFonts w:ascii="仿宋_GB2312" w:hAnsi="仿宋_GB2312" w:cs="仿宋_GB2312" w:eastAsia="仿宋_GB2312"/>
        </w:rPr>
        <w:t xml:space="preserve"> 2．服务提供商应负责对采购人的技术支撑队伍进行知识转移和培训。</w:t>
      </w:r>
      <w:r>
        <w:br/>
      </w:r>
      <w:r>
        <w:rPr>
          <w:rFonts w:ascii="仿宋_GB2312" w:hAnsi="仿宋_GB2312" w:cs="仿宋_GB2312" w:eastAsia="仿宋_GB2312"/>
        </w:rPr>
        <w:t xml:space="preserve"> 7.付款方式</w:t>
      </w:r>
      <w:r>
        <w:br/>
      </w:r>
      <w:r>
        <w:rPr>
          <w:rFonts w:ascii="仿宋_GB2312" w:hAnsi="仿宋_GB2312" w:cs="仿宋_GB2312" w:eastAsia="仿宋_GB2312"/>
        </w:rPr>
        <w:t xml:space="preserve"> （1）合同款项按下列步骤分两期支付：</w:t>
      </w:r>
      <w:r>
        <w:br/>
      </w:r>
      <w:r>
        <w:rPr>
          <w:rFonts w:ascii="仿宋_GB2312" w:hAnsi="仿宋_GB2312" w:cs="仿宋_GB2312" w:eastAsia="仿宋_GB2312"/>
        </w:rPr>
        <w:t xml:space="preserve"> 第一次付款：在签订合同后，采购人在收到中标人开具的发票后10个工作日内，支付合同金额的50%。</w:t>
      </w:r>
      <w:r>
        <w:br/>
      </w:r>
      <w:r>
        <w:rPr>
          <w:rFonts w:ascii="仿宋_GB2312" w:hAnsi="仿宋_GB2312" w:cs="仿宋_GB2312" w:eastAsia="仿宋_GB2312"/>
        </w:rPr>
        <w:t xml:space="preserve"> 第二次付款：项目验收后，收到中标人开具的发票10个工作日内，采购人支付合同金额的50%。</w:t>
      </w:r>
      <w:r>
        <w:br/>
      </w:r>
      <w:r>
        <w:rPr>
          <w:rFonts w:ascii="仿宋_GB2312" w:hAnsi="仿宋_GB2312" w:cs="仿宋_GB2312" w:eastAsia="仿宋_GB2312"/>
        </w:rPr>
        <w:t xml:space="preserve"> （2）付款方式：采用支票、银行汇付（含电汇）等形式。</w:t>
      </w:r>
      <w:r>
        <w:br/>
      </w:r>
      <w:r>
        <w:rPr>
          <w:rFonts w:ascii="仿宋_GB2312" w:hAnsi="仿宋_GB2312" w:cs="仿宋_GB2312" w:eastAsia="仿宋_GB2312"/>
        </w:rPr>
        <w:t xml:space="preserve"> （3）每笔款项支付，中标人应在采购人支付款项前向采购人提供相应金额的有效发票，且收款方、出具发票方、合同乙方均必须与中标人名称一致。</w:t>
      </w:r>
      <w:r>
        <w:br/>
      </w:r>
      <w:r>
        <w:rPr>
          <w:rFonts w:ascii="仿宋_GB2312" w:hAnsi="仿宋_GB2312" w:cs="仿宋_GB2312" w:eastAsia="仿宋_GB2312"/>
        </w:rPr>
        <w:t xml:space="preserve"> 8.知识产权</w:t>
      </w:r>
      <w:r>
        <w:br/>
      </w:r>
      <w:r>
        <w:rPr>
          <w:rFonts w:ascii="仿宋_GB2312" w:hAnsi="仿宋_GB2312" w:cs="仿宋_GB2312" w:eastAsia="仿宋_GB2312"/>
        </w:rPr>
        <w:t xml:space="preserve"> 中标人在服务过程中产生的所有技术资料、提交件的知识产权归采购人单方所有。</w:t>
      </w:r>
      <w:r>
        <w:br/>
      </w:r>
      <w:r>
        <w:rPr>
          <w:rFonts w:ascii="仿宋_GB2312" w:hAnsi="仿宋_GB2312" w:cs="仿宋_GB2312" w:eastAsia="仿宋_GB2312"/>
        </w:rPr>
        <w:t xml:space="preserve"> 中标人有义务承担采购人在软件系统安装地因使用软件系统引起或发生的第三方提出的知识产权诉讼和索赔。采购人应及时将与本项目合同有关的知识产权纠纷书面通知中标人，并协助中标人处理知识产权纠纷，采购人因此支出的全部费用由中标人承担。</w:t>
      </w:r>
      <w:r>
        <w:br/>
      </w:r>
      <w:r>
        <w:rPr>
          <w:rFonts w:ascii="仿宋_GB2312" w:hAnsi="仿宋_GB2312" w:cs="仿宋_GB2312" w:eastAsia="仿宋_GB2312"/>
        </w:rPr>
        <w:t xml:space="preserve"> 中标人交付给采购人的成果不得侵犯第三方的合法权益。如果采购人因使用本项目成果或其中一部分而被第三方起诉侵犯其专利权、商标权或其它知识产权，中标人将依法承担相应的法律责任，并使采购人免受任何第三方因知识产权提起的索赔、仲裁、诉讼，否则应承担采购人为应付此类事件所支出的包括但不限于赔偿款、律师费、诉讼费、受理费、公证费、差旅费等损失。</w:t>
      </w:r>
      <w:r>
        <w:br/>
      </w:r>
      <w:r>
        <w:rPr>
          <w:rFonts w:ascii="仿宋_GB2312" w:hAnsi="仿宋_GB2312" w:cs="仿宋_GB2312" w:eastAsia="仿宋_GB2312"/>
        </w:rPr>
        <w:t xml:space="preserve"> 中标人在服务过程中使用第三方软件、工具或技术资料，需获得相应授权；系统生命周期内，采购人不承担因第三方软件或工具授权产生的费用。</w:t>
      </w:r>
      <w:r>
        <w:br/>
      </w:r>
      <w:r>
        <w:rPr>
          <w:rFonts w:ascii="仿宋_GB2312" w:hAnsi="仿宋_GB2312" w:cs="仿宋_GB2312" w:eastAsia="仿宋_GB2312"/>
        </w:rPr>
        <w:t xml:space="preserve"> 9.验收要求</w:t>
      </w:r>
      <w:r>
        <w:br/>
      </w:r>
      <w:r>
        <w:rPr>
          <w:rFonts w:ascii="仿宋_GB2312" w:hAnsi="仿宋_GB2312" w:cs="仿宋_GB2312" w:eastAsia="仿宋_GB2312"/>
        </w:rPr>
        <w:t xml:space="preserve"> （1）验收准入条件</w:t>
      </w:r>
      <w:r>
        <w:br/>
      </w:r>
      <w:r>
        <w:rPr>
          <w:rFonts w:ascii="仿宋_GB2312" w:hAnsi="仿宋_GB2312" w:cs="仿宋_GB2312" w:eastAsia="仿宋_GB2312"/>
        </w:rPr>
        <w:t xml:space="preserve"> 本项目需求中包含的各项服务工作内容全部完成。</w:t>
      </w:r>
      <w:r>
        <w:br/>
      </w:r>
      <w:r>
        <w:rPr>
          <w:rFonts w:ascii="仿宋_GB2312" w:hAnsi="仿宋_GB2312" w:cs="仿宋_GB2312" w:eastAsia="仿宋_GB2312"/>
        </w:rPr>
        <w:t xml:space="preserve"> 需求对应的工作内容经过业务技术测试或试点运行，并将业务技术测试或试运行阶段出现的问题全部解决，测试或试运行单位出具业务技术测试报告或试运行通过的正式报告，服务工作符合采购需求。</w:t>
      </w:r>
      <w:r>
        <w:br/>
      </w:r>
      <w:r>
        <w:rPr>
          <w:rFonts w:ascii="仿宋_GB2312" w:hAnsi="仿宋_GB2312" w:cs="仿宋_GB2312" w:eastAsia="仿宋_GB2312"/>
        </w:rPr>
        <w:t xml:space="preserve"> 运营及数据处理服务过程中相关管理、技术文档通过甲方评审。</w:t>
      </w:r>
      <w:r>
        <w:br/>
      </w:r>
      <w:r>
        <w:rPr>
          <w:rFonts w:ascii="仿宋_GB2312" w:hAnsi="仿宋_GB2312" w:cs="仿宋_GB2312" w:eastAsia="仿宋_GB2312"/>
        </w:rPr>
        <w:t xml:space="preserve"> （2）验收标准</w:t>
      </w:r>
      <w:r>
        <w:br/>
      </w:r>
      <w:r>
        <w:rPr>
          <w:rFonts w:ascii="仿宋_GB2312" w:hAnsi="仿宋_GB2312" w:cs="仿宋_GB2312" w:eastAsia="仿宋_GB2312"/>
        </w:rPr>
        <w:t xml:space="preserve"> 甲方以本项目需求相关内容为依据，作为项目验收标准。乙方是否按照本招标需求书中定义的各项服务内容和服务管理开展各项工作，工作流程和结果是否符合甲方质量管理要求，是否提交相关工作文档。</w:t>
      </w:r>
      <w:r>
        <w:br/>
      </w:r>
      <w:r>
        <w:rPr>
          <w:rFonts w:ascii="仿宋_GB2312" w:hAnsi="仿宋_GB2312" w:cs="仿宋_GB2312" w:eastAsia="仿宋_GB2312"/>
        </w:rPr>
        <w:t xml:space="preserve"> （3）验收流程</w:t>
      </w:r>
      <w:r>
        <w:br/>
      </w:r>
      <w:r>
        <w:rPr>
          <w:rFonts w:ascii="仿宋_GB2312" w:hAnsi="仿宋_GB2312" w:cs="仿宋_GB2312" w:eastAsia="仿宋_GB2312"/>
        </w:rPr>
        <w:t xml:space="preserve"> 1)在合同有效期满后的30个工作日内，甲方、乙方就乙方提供服务进行验收。</w:t>
      </w:r>
      <w:r>
        <w:br/>
      </w:r>
      <w:r>
        <w:rPr>
          <w:rFonts w:ascii="仿宋_GB2312" w:hAnsi="仿宋_GB2312" w:cs="仿宋_GB2312" w:eastAsia="仿宋_GB2312"/>
        </w:rPr>
        <w:t xml:space="preserve"> 2)乙方完成本项目需求书中全部服务工作内容，符合项目验收准入条件后，乙方可提出项目验收申请。</w:t>
      </w:r>
      <w:r>
        <w:br/>
      </w:r>
      <w:r>
        <w:rPr>
          <w:rFonts w:ascii="仿宋_GB2312" w:hAnsi="仿宋_GB2312" w:cs="仿宋_GB2312" w:eastAsia="仿宋_GB2312"/>
        </w:rPr>
        <w:t xml:space="preserve"> 3)乙方书面提出项目验收申请。</w:t>
      </w:r>
      <w:r>
        <w:br/>
      </w:r>
      <w:r>
        <w:rPr>
          <w:rFonts w:ascii="仿宋_GB2312" w:hAnsi="仿宋_GB2312" w:cs="仿宋_GB2312" w:eastAsia="仿宋_GB2312"/>
        </w:rPr>
        <w:t xml:space="preserve"> 4)向甲方提交《项目工作总结报告》。</w:t>
      </w:r>
      <w:r>
        <w:br/>
      </w:r>
      <w:r>
        <w:rPr>
          <w:rFonts w:ascii="仿宋_GB2312" w:hAnsi="仿宋_GB2312" w:cs="仿宋_GB2312" w:eastAsia="仿宋_GB2312"/>
        </w:rPr>
        <w:t xml:space="preserve"> 5)向甲方整理提交项目需求实现相关管理、技术文档电子版文件。</w:t>
      </w:r>
      <w:r>
        <w:br/>
      </w:r>
      <w:r>
        <w:rPr>
          <w:rFonts w:ascii="仿宋_GB2312" w:hAnsi="仿宋_GB2312" w:cs="仿宋_GB2312" w:eastAsia="仿宋_GB2312"/>
        </w:rPr>
        <w:t xml:space="preserve"> 6)甲方组织进行项目验收评审会议，对项目工作内容及文档进行验收评审。</w:t>
      </w:r>
      <w:r>
        <w:br/>
      </w:r>
      <w:r>
        <w:rPr>
          <w:rFonts w:ascii="仿宋_GB2312" w:hAnsi="仿宋_GB2312" w:cs="仿宋_GB2312" w:eastAsia="仿宋_GB2312"/>
        </w:rPr>
        <w:t xml:space="preserve"> 7)项目验收评审通过后，甲方出具《项目验收报告书》。</w:t>
      </w:r>
      <w:r>
        <w:br/>
      </w:r>
      <w:r>
        <w:rPr>
          <w:rFonts w:ascii="仿宋_GB2312" w:hAnsi="仿宋_GB2312" w:cs="仿宋_GB2312" w:eastAsia="仿宋_GB2312"/>
        </w:rPr>
        <w:t xml:space="preserve"> （4）验收交付成果物</w:t>
      </w:r>
      <w:r>
        <w:br/>
      </w:r>
      <w:r>
        <w:rPr>
          <w:rFonts w:ascii="仿宋_GB2312" w:hAnsi="仿宋_GB2312" w:cs="仿宋_GB2312" w:eastAsia="仿宋_GB2312"/>
        </w:rPr>
        <w:t xml:space="preserve"> 1)提交项目验收书</w:t>
      </w:r>
      <w:r>
        <w:br/>
      </w:r>
      <w:r>
        <w:rPr>
          <w:rFonts w:ascii="仿宋_GB2312" w:hAnsi="仿宋_GB2312" w:cs="仿宋_GB2312" w:eastAsia="仿宋_GB2312"/>
        </w:rPr>
        <w:t xml:space="preserve"> 2)提交移交物清单及移交物</w:t>
      </w:r>
      <w:r>
        <w:br/>
      </w:r>
      <w:r>
        <w:rPr>
          <w:rFonts w:ascii="仿宋_GB2312" w:hAnsi="仿宋_GB2312" w:cs="仿宋_GB2312" w:eastAsia="仿宋_GB2312"/>
        </w:rPr>
        <w:t xml:space="preserve"> 3)业务技术测试（或试运行）报告及文档</w:t>
      </w:r>
      <w:r>
        <w:br/>
      </w:r>
      <w:r>
        <w:rPr>
          <w:rFonts w:ascii="仿宋_GB2312" w:hAnsi="仿宋_GB2312" w:cs="仿宋_GB2312" w:eastAsia="仿宋_GB2312"/>
        </w:rPr>
        <w:t xml:space="preserve"> 4)标准化规范文档</w:t>
      </w:r>
      <w:r>
        <w:br/>
      </w:r>
      <w:r>
        <w:rPr>
          <w:rFonts w:ascii="仿宋_GB2312" w:hAnsi="仿宋_GB2312" w:cs="仿宋_GB2312" w:eastAsia="仿宋_GB2312"/>
        </w:rPr>
        <w:t xml:space="preserve"> 5)效益评估报告</w:t>
      </w:r>
      <w:r>
        <w:br/>
      </w:r>
      <w:r>
        <w:rPr>
          <w:rFonts w:ascii="仿宋_GB2312" w:hAnsi="仿宋_GB2312" w:cs="仿宋_GB2312" w:eastAsia="仿宋_GB2312"/>
        </w:rPr>
        <w:t xml:space="preserve"> 10.人员要求</w:t>
      </w:r>
      <w:r>
        <w:br/>
      </w:r>
      <w:r>
        <w:rPr>
          <w:rFonts w:ascii="仿宋_GB2312" w:hAnsi="仿宋_GB2312" w:cs="仿宋_GB2312" w:eastAsia="仿宋_GB2312"/>
        </w:rPr>
        <w:t xml:space="preserve"> 投入本项目的技术支持团队人数应不少于5人，以满足项目开展实施。</w:t>
      </w:r>
      <w:r>
        <w:br/>
      </w:r>
      <w:r>
        <w:rPr>
          <w:rFonts w:ascii="仿宋_GB2312" w:hAnsi="仿宋_GB2312" w:cs="仿宋_GB2312" w:eastAsia="仿宋_GB2312"/>
        </w:rPr>
        <w:t xml:space="preserve"> 项目经理具有3年或以上项目管理经验，具有由人力资源和社会保障部门颁发的信息系统项目管理师（高级）证书，并具有政务数据服务类相关项目经验。</w:t>
      </w:r>
      <w:r>
        <w:br/>
      </w:r>
      <w:r>
        <w:rPr>
          <w:rFonts w:ascii="仿宋_GB2312" w:hAnsi="仿宋_GB2312" w:cs="仿宋_GB2312" w:eastAsia="仿宋_GB2312"/>
        </w:rPr>
        <w:t xml:space="preserve"> 服务团队人员（除项目经理外）具备数据库系统工程师或软件设计师或系统集成项目管理工程师证书，具有丰富的税收业务知识，熟悉税务信息化系统现状，具备类似的项目经验。</w:t>
      </w:r>
      <w:r>
        <w:br/>
      </w:r>
      <w:r>
        <w:rPr>
          <w:rFonts w:ascii="仿宋_GB2312" w:hAnsi="仿宋_GB2312" w:cs="仿宋_GB2312" w:eastAsia="仿宋_GB2312"/>
        </w:rPr>
        <w:t xml:space="preserve"> 11.述标演示要求</w:t>
      </w:r>
      <w:r>
        <w:br/>
      </w:r>
      <w:r>
        <w:rPr>
          <w:rFonts w:ascii="仿宋_GB2312" w:hAnsi="仿宋_GB2312" w:cs="仿宋_GB2312" w:eastAsia="仿宋_GB2312"/>
        </w:rPr>
        <w:t xml:space="preserve"> 对项目“3.2基于区块链平台拓新场景的数据分析服务”和“3.4地理信息体系对接”涉及的两个场景应用功能情况进行述标演示，根据现场述标演示进行评价：</w:t>
      </w:r>
      <w:r>
        <w:br/>
      </w:r>
      <w:r>
        <w:rPr>
          <w:rFonts w:ascii="仿宋_GB2312" w:hAnsi="仿宋_GB2312" w:cs="仿宋_GB2312" w:eastAsia="仿宋_GB2312"/>
        </w:rPr>
        <w:t xml:space="preserve"> 述标演示要求如下：</w:t>
      </w:r>
      <w:r>
        <w:br/>
      </w:r>
      <w:r>
        <w:rPr>
          <w:rFonts w:ascii="仿宋_GB2312" w:hAnsi="仿宋_GB2312" w:cs="仿宋_GB2312" w:eastAsia="仿宋_GB2312"/>
        </w:rPr>
        <w:t xml:space="preserve"> 1）述标演示的先后顺序将按各投标人随机抽取的顺序排序，投标人逐一完成述标演示。顺序抽取集中时间：2025年1月23日9时30分；集中地点：广州市越秀区越华路112号珠江国际大厦3楼303室 。投标人务必在规定的时间内抽取述标演示顺序，如未按规定抽取述标演示顺序的，将视为投标人放弃述标演示。</w:t>
      </w:r>
      <w:r>
        <w:br/>
      </w:r>
      <w:r>
        <w:rPr>
          <w:rFonts w:ascii="仿宋_GB2312" w:hAnsi="仿宋_GB2312" w:cs="仿宋_GB2312" w:eastAsia="仿宋_GB2312"/>
        </w:rPr>
        <w:t xml:space="preserve"> 2）述标演示可以PPT讲解形式进行。</w:t>
      </w:r>
      <w:r>
        <w:br/>
      </w:r>
      <w:r>
        <w:rPr>
          <w:rFonts w:ascii="仿宋_GB2312" w:hAnsi="仿宋_GB2312" w:cs="仿宋_GB2312" w:eastAsia="仿宋_GB2312"/>
        </w:rPr>
        <w:t xml:space="preserve"> 3）每个投标人仅有一次述标演示机会，演示时间控制在10分钟以内，最多 2 人参加。</w:t>
      </w:r>
      <w:r>
        <w:br/>
      </w:r>
      <w:r>
        <w:rPr>
          <w:rFonts w:ascii="仿宋_GB2312" w:hAnsi="仿宋_GB2312" w:cs="仿宋_GB2312" w:eastAsia="仿宋_GB2312"/>
        </w:rPr>
        <w:t xml:space="preserve"> 4）投标人对项目服务内容中功能进行述标演示，要求业务理解正确，响应迅速。</w:t>
      </w:r>
      <w:r>
        <w:br/>
      </w:r>
      <w:r>
        <w:rPr>
          <w:rFonts w:ascii="仿宋_GB2312" w:hAnsi="仿宋_GB2312" w:cs="仿宋_GB2312" w:eastAsia="仿宋_GB2312"/>
        </w:rPr>
        <w:t xml:space="preserve"> 12.其他要求</w:t>
      </w:r>
      <w:r>
        <w:br/>
      </w:r>
      <w:r>
        <w:rPr>
          <w:rFonts w:ascii="仿宋_GB2312" w:hAnsi="仿宋_GB2312" w:cs="仿宋_GB2312" w:eastAsia="仿宋_GB2312"/>
        </w:rPr>
        <w:t xml:space="preserve"> ★投标人不得以任何不正当行为谋取不当利益 ，包括但不限于“围猎”采购人税务人员行为（以获取不正当利益为目的，采取馈赠礼品礼金、邀请娱乐旅游消费、提供便利条件等非正常交往手段“围猎”相关税务人员及其亲属），否则将承担相应的法律责任，并接受采购人相关处罚（供应商投标时需提供承诺函）。</w:t>
      </w:r>
      <w:r>
        <w:br/>
      </w:r>
      <w:r>
        <w:rPr>
          <w:rFonts w:ascii="仿宋_GB2312" w:hAnsi="仿宋_GB2312" w:cs="仿宋_GB2312" w:eastAsia="仿宋_GB2312"/>
        </w:rPr>
        <w:t xml:space="preserve"> ★投标人承诺所投入人员为投标人的正式员工或签合同满一年的人员（供应商投标时需提供承诺函，格式可参考附件）。</w:t>
      </w:r>
      <w:r>
        <w:br/>
      </w:r>
      <w:r>
        <w:rPr>
          <w:rFonts w:ascii="仿宋_GB2312" w:hAnsi="仿宋_GB2312" w:cs="仿宋_GB2312" w:eastAsia="仿宋_GB2312"/>
        </w:rPr>
        <w:t xml:space="preserve"> ★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函，可参照“投标文件格式”中《承诺函》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国家税务总局广州市税务局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1"/>
        </w:rPr>
        <w:t>政府采购监督管理机构名称：国家财政部国库司政府采购监督裁决处</w:t>
      </w:r>
    </w:p>
    <w:p>
      <w:pPr>
        <w:pStyle w:val="null3"/>
        <w:ind w:firstLine="480"/>
        <w:jc w:val="both"/>
      </w:pPr>
      <w:r>
        <w:rPr>
          <w:rFonts w:ascii="仿宋_GB2312" w:hAnsi="仿宋_GB2312" w:cs="仿宋_GB2312" w:eastAsia="仿宋_GB2312"/>
          <w:sz w:val="21"/>
        </w:rPr>
        <w:t>地  址：北京市西城区月坛北小街13号中船宾馆北楼四层8401室、8403室</w:t>
      </w:r>
    </w:p>
    <w:p>
      <w:pPr>
        <w:pStyle w:val="null3"/>
        <w:ind w:firstLine="480"/>
        <w:jc w:val="both"/>
      </w:pPr>
      <w:r>
        <w:rPr>
          <w:rFonts w:ascii="仿宋_GB2312" w:hAnsi="仿宋_GB2312" w:cs="仿宋_GB2312" w:eastAsia="仿宋_GB2312"/>
          <w:sz w:val="21"/>
        </w:rPr>
        <w:t>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经会计师事务所审计的2023年度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采购的项目。供应商须为符合本项目采购标的对应行业（软件和信息技术服务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运营服务方案</w:t>
            </w:r>
          </w:p>
        </w:tc>
        <w:tc>
          <w:tcPr>
            <w:tcW w:type="dxa" w:w="4614"/>
          </w:tcPr>
          <w:p>
            <w:pPr>
              <w:pStyle w:val="null3"/>
              <w:jc w:val="left"/>
            </w:pPr>
            <w:r>
              <w:rPr>
                <w:rFonts w:ascii="仿宋_GB2312" w:hAnsi="仿宋_GB2312" w:cs="仿宋_GB2312" w:eastAsia="仿宋_GB2312"/>
              </w:rPr>
              <w:t>根据用户需求书中“五、商务要求”中“1.总体要求”，对区块链破产清算、以旧换新的发票数据核查、电话核查辅导的数据分析的具体运营服务方案评审： 1.完全满足且优于采购需求的，得10分； 2.完全满足采购需求的，得7分； 3.不能完全满足采购需求的，得4分； 4.未提供或未体现上述内容的，得0分。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项目管理方案</w:t>
            </w:r>
          </w:p>
        </w:tc>
        <w:tc>
          <w:tcPr>
            <w:tcW w:type="dxa" w:w="4614"/>
          </w:tcPr>
          <w:p>
            <w:pPr>
              <w:pStyle w:val="null3"/>
              <w:jc w:val="left"/>
            </w:pPr>
            <w:r>
              <w:rPr>
                <w:rFonts w:ascii="仿宋_GB2312" w:hAnsi="仿宋_GB2312" w:cs="仿宋_GB2312" w:eastAsia="仿宋_GB2312"/>
              </w:rPr>
              <w:t>根据用户需求书中“五、商务要求”中“1.总体要求”，对项目管理方案进行评审，内容包括但不限于质量保障措施、服务进度计划、人员管理方案： 1.完全满足且优于采购需求的，得10分； 2.完全满足采购需求的，得7分； 3.不能完全满足采购需求的，得4分； 4.未提供或未体现上述内容的，得0分。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知识转移和培训方案</w:t>
            </w:r>
          </w:p>
        </w:tc>
        <w:tc>
          <w:tcPr>
            <w:tcW w:type="dxa" w:w="4614"/>
          </w:tcPr>
          <w:p>
            <w:pPr>
              <w:pStyle w:val="null3"/>
              <w:jc w:val="left"/>
            </w:pPr>
            <w:r>
              <w:rPr>
                <w:rFonts w:ascii="仿宋_GB2312" w:hAnsi="仿宋_GB2312" w:cs="仿宋_GB2312" w:eastAsia="仿宋_GB2312"/>
              </w:rPr>
              <w:t>根据用户需求书“五、商务要求”中“6.知识转移和培训”，对知识转移和培训方案进行评审： 1.完全满足且优于采购需求的，得5分； 2.完全满足采购需求的，得3分； 3.不能完全满足采购需求的，得1分； 4.未提供或未体现上述内容的，得0分。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述标演示</w:t>
            </w:r>
          </w:p>
        </w:tc>
        <w:tc>
          <w:tcPr>
            <w:tcW w:type="dxa" w:w="4614"/>
          </w:tcPr>
          <w:p>
            <w:pPr>
              <w:pStyle w:val="null3"/>
              <w:jc w:val="left"/>
            </w:pPr>
            <w:r>
              <w:rPr>
                <w:rFonts w:ascii="仿宋_GB2312" w:hAnsi="仿宋_GB2312" w:cs="仿宋_GB2312" w:eastAsia="仿宋_GB2312"/>
              </w:rPr>
              <w:t>根据用户需求书“五、商务要求”中“11.述标演示要求”进行评审： 1.两个场景完全满足且优于采购需求的，得15分； 2.两个场景完全满足采购需求的，得10分； 3.两个场景不完全满足或只有一个场景完全满足采购需求的，得5分； 4.未提供或未体现上述内容的，得0分。 本项最高得15分。</w:t>
            </w:r>
          </w:p>
        </w:tc>
        <w:tc>
          <w:tcPr>
            <w:tcW w:type="dxa" w:w="923"/>
          </w:tcPr>
          <w:p>
            <w:pPr>
              <w:pStyle w:val="null3"/>
              <w:jc w:val="right"/>
            </w:pPr>
            <w:r>
              <w:rPr>
                <w:rFonts w:ascii="仿宋_GB2312" w:hAnsi="仿宋_GB2312" w:cs="仿宋_GB2312" w:eastAsia="仿宋_GB2312"/>
              </w:rPr>
              <w:t>15.00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项目团队1</w:t>
            </w:r>
          </w:p>
        </w:tc>
        <w:tc>
          <w:tcPr>
            <w:tcW w:type="dxa" w:w="4614"/>
          </w:tcPr>
          <w:p>
            <w:pPr>
              <w:pStyle w:val="null3"/>
              <w:jc w:val="left"/>
            </w:pPr>
            <w:r>
              <w:rPr>
                <w:rFonts w:ascii="仿宋_GB2312" w:hAnsi="仿宋_GB2312" w:cs="仿宋_GB2312" w:eastAsia="仿宋_GB2312"/>
              </w:rPr>
              <w:t>拟投入的项目经理（1 人）： 1.具有3年或以上项目管理经验的，得5分。 2.具有由人力资源和社会保障部门颁发的信息系统项目管理师（高级）证书的，得5分。 本项最高可得10分。 注：提供证书复印件（项目管理经验以取得信息系统项目管理师证书之日起算），同时提供劳动合同复印件或2024年7月以来任意一个月购买的社会保险（至少须含养老保险）缴纳证明复印件，所有复印件及证明材料均需加盖投标人公章，未按照要求提供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项目团队2</w:t>
            </w:r>
          </w:p>
        </w:tc>
        <w:tc>
          <w:tcPr>
            <w:tcW w:type="dxa" w:w="4614"/>
          </w:tcPr>
          <w:p>
            <w:pPr>
              <w:pStyle w:val="null3"/>
              <w:jc w:val="left"/>
            </w:pPr>
            <w:r>
              <w:rPr>
                <w:rFonts w:ascii="仿宋_GB2312" w:hAnsi="仿宋_GB2312" w:cs="仿宋_GB2312" w:eastAsia="仿宋_GB2312"/>
              </w:rPr>
              <w:t>服务团队人员（除项目经理外）： 1、具备数据库系统工程师或软件设计师或系统集成项目管理工程师证书的，每人得5分。同一人同时具备多种证书，不重复计分。最高得10分； 注：提供证书复印件，同时提供劳动合同复印件或2024年7月以来任意一个月购买的社会保险缴纳证明复印件，所有复印件及证明材料均需加盖投标人公章，未按照要求提供不得分。 2、承诺投入的人员数不少于4人，得5分。 注:须提供承诺函 (格式自拟)并加盖投标人公章，须提供拟投入人员的清单(含具体分工明细)，须提供拟派驻场人员的劳动合同复印件或投标人为其缴纳的2024年7月以来任意1个月的社会保险（至少须含养老保险）参保人员缴费证明复印件并加盖投标人公章;未提供或提供资料不齐全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投标人实力</w:t>
            </w:r>
          </w:p>
        </w:tc>
        <w:tc>
          <w:tcPr>
            <w:tcW w:type="dxa" w:w="4614"/>
          </w:tcPr>
          <w:p>
            <w:pPr>
              <w:pStyle w:val="null3"/>
              <w:jc w:val="left"/>
            </w:pPr>
            <w:r>
              <w:rPr>
                <w:rFonts w:ascii="仿宋_GB2312" w:hAnsi="仿宋_GB2312" w:cs="仿宋_GB2312" w:eastAsia="仿宋_GB2312"/>
              </w:rPr>
              <w:t>投标人具有质量管理体系认证证书（认证范围须与信息化相关）得5分； 注：提供认证证书复印件并须同时提供在全国认证认可信息公共服务平台对体系证书的信息查询截图作为评审依据，已暂停、失效或撤销的不得分。新设立企业成立时间不足三个月的，得5分。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投标人技术能力</w:t>
            </w:r>
          </w:p>
        </w:tc>
        <w:tc>
          <w:tcPr>
            <w:tcW w:type="dxa" w:w="4614"/>
          </w:tcPr>
          <w:p>
            <w:pPr>
              <w:pStyle w:val="null3"/>
              <w:jc w:val="left"/>
            </w:pPr>
            <w:r>
              <w:rPr>
                <w:rFonts w:ascii="仿宋_GB2312" w:hAnsi="仿宋_GB2312" w:cs="仿宋_GB2312" w:eastAsia="仿宋_GB2312"/>
              </w:rPr>
              <w:t>投标人具有相关自主知识产权，内容与“IT运维、安全管理、数据质量、数据应用、数据安全、数据仓库、数据共享”方向相关的计算机软件著作权证书，同一类型多个证书不重复得分，每个证书得 3分，最高15分。 注:须提供有效的证书复印件，不提供不得分。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项目经验</w:t>
            </w:r>
          </w:p>
        </w:tc>
        <w:tc>
          <w:tcPr>
            <w:tcW w:type="dxa" w:w="4614"/>
          </w:tcPr>
          <w:p>
            <w:pPr>
              <w:pStyle w:val="null3"/>
              <w:jc w:val="left"/>
            </w:pPr>
            <w:r>
              <w:rPr>
                <w:rFonts w:ascii="仿宋_GB2312" w:hAnsi="仿宋_GB2312" w:cs="仿宋_GB2312" w:eastAsia="仿宋_GB2312"/>
              </w:rPr>
              <w:t>投标人自2021年1月1日（以合同签订日期为准）起至今承担过信息系统运营或数据处理类项目，每提供一个项目经验得1分，本项最高得5分。 注：投标时须提供合同关键页（合同关键页须至少能体现合同甲乙双方名称、项目名称、项目内容及合同甲乙双方签章的关键信息）复印件并加盖投标人公章为证明材料。不提供不得分。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各评委的评分的算术平均值即为该投标供应商的技术评分或商务评分。然后，根据比价原则评出价格评分。将技术评分、商务评分和价格评分相加得出评标总得分。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b/>
        </w:rPr>
        <w:t>合同编号：</w:t>
      </w:r>
    </w:p>
    <w:p>
      <w:pPr>
        <w:pStyle w:val="null3"/>
        <w:jc w:val="left"/>
      </w:pPr>
      <w:r>
        <w:rPr>
          <w:rFonts w:ascii="仿宋_GB2312" w:hAnsi="仿宋_GB2312" w:cs="仿宋_GB2312" w:eastAsia="仿宋_GB2312"/>
          <w:sz w:val="70"/>
          <w:b/>
        </w:rPr>
        <w:t>政府采购合同</w:t>
      </w:r>
    </w:p>
    <w:p>
      <w:pPr>
        <w:pStyle w:val="null3"/>
        <w:jc w:val="center"/>
      </w:pPr>
      <w:r>
        <w:rPr>
          <w:rFonts w:ascii="仿宋_GB2312" w:hAnsi="仿宋_GB2312" w:cs="仿宋_GB2312" w:eastAsia="仿宋_GB2312"/>
          <w:sz w:val="44"/>
          <w:b/>
        </w:rPr>
        <w:t>（本合同为中小企业预留合同）</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32"/>
          <w:b/>
          <w:u w:val="single"/>
        </w:rPr>
        <w:t>国家税务总局广州市税务局广州市数字政府对接技术支持服务采购项目</w:t>
      </w:r>
    </w:p>
    <w:p>
      <w:pPr>
        <w:pStyle w:val="null3"/>
        <w:ind w:left="945" w:firstLine="321"/>
        <w:jc w:val="both"/>
      </w:pPr>
      <w:r>
        <w:rPr>
          <w:rFonts w:ascii="仿宋_GB2312" w:hAnsi="仿宋_GB2312" w:cs="仿宋_GB2312" w:eastAsia="仿宋_GB2312"/>
          <w:sz w:val="32"/>
          <w:b/>
        </w:rPr>
        <w:t>项目编号：</w:t>
      </w:r>
      <w:r>
        <w:rPr>
          <w:rFonts w:ascii="仿宋_GB2312" w:hAnsi="仿宋_GB2312" w:cs="仿宋_GB2312" w:eastAsia="仿宋_GB2312"/>
          <w:sz w:val="32"/>
          <w:b/>
          <w:u w:val="single"/>
        </w:rPr>
        <w:t>P2023024</w:t>
      </w:r>
    </w:p>
    <w:p>
      <w:pPr>
        <w:pStyle w:val="null3"/>
        <w:ind w:left="945" w:firstLine="321"/>
        <w:jc w:val="both"/>
      </w:pPr>
      <w:r>
        <w:rPr>
          <w:rFonts w:ascii="仿宋_GB2312" w:hAnsi="仿宋_GB2312" w:cs="仿宋_GB2312" w:eastAsia="仿宋_GB2312"/>
          <w:sz w:val="32"/>
          <w:b/>
        </w:rPr>
        <w:t>合同编号：</w:t>
      </w:r>
    </w:p>
    <w:p>
      <w:pPr>
        <w:pStyle w:val="null3"/>
        <w:jc w:val="center"/>
      </w:pPr>
      <w:r>
        <w:rPr>
          <w:rFonts w:ascii="仿宋_GB2312" w:hAnsi="仿宋_GB2312" w:cs="仿宋_GB2312" w:eastAsia="仿宋_GB2312"/>
          <w:sz w:val="32"/>
          <w:b/>
        </w:rPr>
        <w:t>甲方：</w:t>
      </w:r>
      <w:r>
        <w:rPr>
          <w:rFonts w:ascii="仿宋_GB2312" w:hAnsi="仿宋_GB2312" w:cs="仿宋_GB2312" w:eastAsia="仿宋_GB2312"/>
          <w:sz w:val="32"/>
          <w:b/>
          <w:u w:val="single"/>
        </w:rPr>
        <w:t>国家税务总局广州市税务局</w:t>
      </w:r>
    </w:p>
    <w:p>
      <w:pPr>
        <w:pStyle w:val="null3"/>
        <w:ind w:firstLine="1124"/>
        <w:jc w:val="both"/>
      </w:pPr>
      <w:r>
        <w:rPr>
          <w:rFonts w:ascii="仿宋_GB2312" w:hAnsi="仿宋_GB2312" w:cs="仿宋_GB2312" w:eastAsia="仿宋_GB2312"/>
          <w:sz w:val="32"/>
          <w:b/>
        </w:rPr>
        <w:t>乙方：</w:t>
      </w:r>
    </w:p>
    <w:p>
      <w:pPr>
        <w:pStyle w:val="null3"/>
        <w:jc w:val="center"/>
      </w:pPr>
      <w:r>
        <w:rPr>
          <w:rFonts w:ascii="仿宋_GB2312" w:hAnsi="仿宋_GB2312" w:cs="仿宋_GB2312" w:eastAsia="仿宋_GB2312"/>
          <w:sz w:val="32"/>
          <w:b/>
        </w:rPr>
        <w:t>签订时间：二〇二四年___月</w:t>
      </w:r>
    </w:p>
    <w:p>
      <w:pPr>
        <w:pStyle w:val="null3"/>
        <w:jc w:val="center"/>
      </w:pPr>
      <w:r>
        <w:rPr>
          <w:rFonts w:ascii="仿宋_GB2312" w:hAnsi="仿宋_GB2312" w:cs="仿宋_GB2312" w:eastAsia="仿宋_GB2312"/>
          <w:sz w:val="24"/>
          <w:b/>
        </w:rPr>
        <w:t>甲  方：</w:t>
      </w:r>
      <w:r>
        <w:rPr>
          <w:rFonts w:ascii="仿宋_GB2312" w:hAnsi="仿宋_GB2312" w:cs="仿宋_GB2312" w:eastAsia="仿宋_GB2312"/>
          <w:sz w:val="24"/>
          <w:b/>
          <w:u w:val="single"/>
        </w:rPr>
        <w:t>国家税务总局广州市税务局</w:t>
      </w:r>
    </w:p>
    <w:p>
      <w:pPr>
        <w:pStyle w:val="null3"/>
        <w:jc w:val="both"/>
      </w:pPr>
      <w:r>
        <w:rPr>
          <w:rFonts w:ascii="仿宋_GB2312" w:hAnsi="仿宋_GB2312" w:cs="仿宋_GB2312" w:eastAsia="仿宋_GB2312"/>
          <w:sz w:val="24"/>
        </w:rPr>
        <w:t>电  话：</w:t>
      </w:r>
      <w:r>
        <w:rPr>
          <w:rFonts w:ascii="仿宋_GB2312" w:hAnsi="仿宋_GB2312" w:cs="仿宋_GB2312" w:eastAsia="仿宋_GB2312"/>
          <w:sz w:val="24"/>
          <w:u w:val="single"/>
        </w:rPr>
        <w:t>020-38006100</w:t>
      </w:r>
      <w:r>
        <w:rPr>
          <w:rFonts w:ascii="仿宋_GB2312" w:hAnsi="仿宋_GB2312" w:cs="仿宋_GB2312" w:eastAsia="仿宋_GB2312"/>
          <w:sz w:val="24"/>
        </w:rPr>
        <w:t xml:space="preserve">  传  真：</w:t>
      </w:r>
    </w:p>
    <w:p>
      <w:pPr>
        <w:pStyle w:val="null3"/>
        <w:jc w:val="both"/>
      </w:pPr>
      <w:r>
        <w:rPr>
          <w:rFonts w:ascii="仿宋_GB2312" w:hAnsi="仿宋_GB2312" w:cs="仿宋_GB2312" w:eastAsia="仿宋_GB2312"/>
          <w:sz w:val="24"/>
        </w:rPr>
        <w:t>地  址：</w:t>
      </w:r>
      <w:r>
        <w:rPr>
          <w:rFonts w:ascii="仿宋_GB2312" w:hAnsi="仿宋_GB2312" w:cs="仿宋_GB2312" w:eastAsia="仿宋_GB2312"/>
          <w:sz w:val="24"/>
          <w:u w:val="single"/>
        </w:rPr>
        <w:t>广东省广州市天河区华夏路3号</w:t>
      </w:r>
    </w:p>
    <w:p>
      <w:pPr>
        <w:pStyle w:val="null3"/>
        <w:jc w:val="both"/>
      </w:pPr>
      <w:r>
        <w:rPr>
          <w:rFonts w:ascii="仿宋_GB2312" w:hAnsi="仿宋_GB2312" w:cs="仿宋_GB2312" w:eastAsia="仿宋_GB2312"/>
          <w:sz w:val="24"/>
          <w:b/>
        </w:rPr>
        <w:t>乙　方：</w:t>
      </w:r>
    </w:p>
    <w:p>
      <w:pPr>
        <w:pStyle w:val="null3"/>
        <w:jc w:val="both"/>
      </w:pPr>
      <w:r>
        <w:rPr>
          <w:rFonts w:ascii="仿宋_GB2312" w:hAnsi="仿宋_GB2312" w:cs="仿宋_GB2312" w:eastAsia="仿宋_GB2312"/>
          <w:sz w:val="24"/>
        </w:rPr>
        <w:t>电　话：</w:t>
      </w:r>
      <w:r>
        <w:rPr>
          <w:rFonts w:ascii="仿宋_GB2312" w:hAnsi="仿宋_GB2312" w:cs="仿宋_GB2312" w:eastAsia="仿宋_GB2312"/>
          <w:sz w:val="24"/>
          <w:u w:val="single"/>
        </w:rPr>
        <w:t xml:space="preserve">   </w:t>
      </w:r>
      <w:r>
        <w:rPr>
          <w:rFonts w:ascii="仿宋_GB2312" w:hAnsi="仿宋_GB2312" w:cs="仿宋_GB2312" w:eastAsia="仿宋_GB2312"/>
          <w:sz w:val="24"/>
        </w:rPr>
        <w:t xml:space="preserve">  传　真：</w:t>
      </w:r>
    </w:p>
    <w:p>
      <w:pPr>
        <w:pStyle w:val="null3"/>
        <w:jc w:val="both"/>
      </w:pPr>
      <w:r>
        <w:rPr>
          <w:rFonts w:ascii="仿宋_GB2312" w:hAnsi="仿宋_GB2312" w:cs="仿宋_GB2312" w:eastAsia="仿宋_GB2312"/>
          <w:sz w:val="24"/>
        </w:rPr>
        <w:t>地　址：</w:t>
      </w:r>
    </w:p>
    <w:p>
      <w:pPr>
        <w:pStyle w:val="null3"/>
        <w:jc w:val="both"/>
      </w:pPr>
      <w:r>
        <w:rPr>
          <w:rFonts w:ascii="仿宋_GB2312" w:hAnsi="仿宋_GB2312" w:cs="仿宋_GB2312" w:eastAsia="仿宋_GB2312"/>
          <w:sz w:val="24"/>
        </w:rPr>
        <w:t>项目名称：</w:t>
      </w:r>
      <w:r>
        <w:rPr>
          <w:rFonts w:ascii="仿宋_GB2312" w:hAnsi="仿宋_GB2312" w:cs="仿宋_GB2312" w:eastAsia="仿宋_GB2312"/>
          <w:sz w:val="24"/>
          <w:u w:val="single"/>
        </w:rPr>
        <w:t>国家税务总局广州市税务局广州市数字政府对接技术支持服务项目</w:t>
      </w:r>
    </w:p>
    <w:p>
      <w:pPr>
        <w:pStyle w:val="null3"/>
        <w:jc w:val="both"/>
      </w:pPr>
      <w:r>
        <w:rPr>
          <w:rFonts w:ascii="仿宋_GB2312" w:hAnsi="仿宋_GB2312" w:cs="仿宋_GB2312" w:eastAsia="仿宋_GB2312"/>
          <w:sz w:val="24"/>
        </w:rPr>
        <w:t>采购编号：</w:t>
      </w:r>
    </w:p>
    <w:p>
      <w:pPr>
        <w:pStyle w:val="null3"/>
        <w:ind w:firstLine="485"/>
        <w:jc w:val="both"/>
      </w:pPr>
      <w:r>
        <w:rPr>
          <w:rFonts w:ascii="仿宋_GB2312" w:hAnsi="仿宋_GB2312" w:cs="仿宋_GB2312" w:eastAsia="仿宋_GB2312"/>
          <w:sz w:val="24"/>
        </w:rPr>
        <w:t>根据</w:t>
      </w:r>
      <w:r>
        <w:rPr>
          <w:rFonts w:ascii="仿宋_GB2312" w:hAnsi="仿宋_GB2312" w:cs="仿宋_GB2312" w:eastAsia="仿宋_GB2312"/>
          <w:sz w:val="24"/>
          <w:u w:val="single"/>
        </w:rPr>
        <w:t>国家税务总局广州市税务局广州市数字政府对接技术支持服务采购</w:t>
      </w:r>
      <w:r>
        <w:rPr>
          <w:rFonts w:ascii="仿宋_GB2312" w:hAnsi="仿宋_GB2312" w:cs="仿宋_GB2312" w:eastAsia="仿宋_GB2312"/>
          <w:sz w:val="24"/>
        </w:rPr>
        <w:t>项目的采购结果，按照《中华人民共和国政府采购法》、《中华人民共和国民法典》的规定，</w:t>
      </w:r>
      <w:r>
        <w:rPr>
          <w:rFonts w:ascii="仿宋_GB2312" w:hAnsi="仿宋_GB2312" w:cs="仿宋_GB2312" w:eastAsia="仿宋_GB2312"/>
          <w:sz w:val="24"/>
        </w:rPr>
        <w:t>经双方协商，</w:t>
      </w:r>
      <w:r>
        <w:rPr>
          <w:rFonts w:ascii="仿宋_GB2312" w:hAnsi="仿宋_GB2312" w:cs="仿宋_GB2312" w:eastAsia="仿宋_GB2312"/>
          <w:sz w:val="24"/>
        </w:rPr>
        <w:t>本着平等互利和诚实信用的原则，</w:t>
      </w:r>
      <w:r>
        <w:rPr>
          <w:rFonts w:ascii="仿宋_GB2312" w:hAnsi="仿宋_GB2312" w:cs="仿宋_GB2312" w:eastAsia="仿宋_GB2312"/>
          <w:sz w:val="24"/>
        </w:rPr>
        <w:t>一致同意签订本合同如下。</w:t>
      </w:r>
    </w:p>
    <w:p>
      <w:pPr>
        <w:pStyle w:val="null3"/>
        <w:numPr>
          <w:ilvl w:val="0"/>
          <w:numId w:val="1"/>
        </w:numPr>
        <w:jc w:val="left"/>
      </w:pPr>
      <w:r>
        <w:rPr>
          <w:rFonts w:ascii="仿宋_GB2312" w:hAnsi="仿宋_GB2312" w:cs="仿宋_GB2312" w:eastAsia="仿宋_GB2312"/>
          <w:sz w:val="24"/>
          <w:b/>
        </w:rPr>
        <w:t>合同金额</w:t>
      </w:r>
    </w:p>
    <w:p>
      <w:pPr>
        <w:pStyle w:val="null3"/>
        <w:ind w:firstLine="480"/>
        <w:jc w:val="both"/>
      </w:pPr>
      <w:r>
        <w:rPr>
          <w:rFonts w:ascii="仿宋_GB2312" w:hAnsi="仿宋_GB2312" w:cs="仿宋_GB2312" w:eastAsia="仿宋_GB2312"/>
          <w:sz w:val="24"/>
        </w:rPr>
        <w:t>合同金额为（大写）：人民币（¥）。</w:t>
      </w:r>
    </w:p>
    <w:p>
      <w:pPr>
        <w:pStyle w:val="null3"/>
        <w:numPr>
          <w:ilvl w:val="0"/>
          <w:numId w:val="1"/>
        </w:numPr>
        <w:jc w:val="left"/>
      </w:pPr>
      <w:r>
        <w:rPr>
          <w:rFonts w:ascii="仿宋_GB2312" w:hAnsi="仿宋_GB2312" w:cs="仿宋_GB2312" w:eastAsia="仿宋_GB2312"/>
          <w:sz w:val="24"/>
          <w:b/>
        </w:rPr>
        <w:t>服务内容与要求</w:t>
      </w:r>
    </w:p>
    <w:p>
      <w:pPr>
        <w:pStyle w:val="null3"/>
        <w:ind w:firstLine="480"/>
        <w:jc w:val="both"/>
      </w:pPr>
      <w:r>
        <w:rPr>
          <w:rFonts w:ascii="仿宋_GB2312" w:hAnsi="仿宋_GB2312" w:cs="仿宋_GB2312" w:eastAsia="仿宋_GB2312"/>
          <w:sz w:val="24"/>
        </w:rPr>
        <w:t>本合同服务内容详见附件。</w:t>
      </w:r>
    </w:p>
    <w:p>
      <w:pPr>
        <w:pStyle w:val="null3"/>
        <w:numPr>
          <w:ilvl w:val="0"/>
          <w:numId w:val="1"/>
        </w:numPr>
        <w:jc w:val="left"/>
      </w:pPr>
      <w:r>
        <w:rPr>
          <w:rFonts w:ascii="仿宋_GB2312" w:hAnsi="仿宋_GB2312" w:cs="仿宋_GB2312" w:eastAsia="仿宋_GB2312"/>
          <w:sz w:val="24"/>
          <w:b/>
        </w:rPr>
        <w:t>服务期限和服务地点</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服务期限：自合同签订之日起，提供1年或经采购人核定的工作量达到67个人月支持服务。投标人应按照采购人提出的进度安排按时完成工作任务。</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服务地点：广州市内甲方指定地点。</w:t>
      </w:r>
    </w:p>
    <w:p>
      <w:pPr>
        <w:pStyle w:val="null3"/>
        <w:numPr>
          <w:ilvl w:val="0"/>
          <w:numId w:val="1"/>
        </w:numPr>
        <w:jc w:val="left"/>
      </w:pPr>
      <w:r>
        <w:rPr>
          <w:rFonts w:ascii="仿宋_GB2312" w:hAnsi="仿宋_GB2312" w:cs="仿宋_GB2312" w:eastAsia="仿宋_GB2312"/>
          <w:sz w:val="24"/>
          <w:b/>
        </w:rPr>
        <w:t>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合同款项按下列步骤分两期支付：</w:t>
      </w:r>
    </w:p>
    <w:p>
      <w:pPr>
        <w:pStyle w:val="null3"/>
        <w:ind w:firstLine="480"/>
        <w:jc w:val="both"/>
      </w:pPr>
      <w:r>
        <w:rPr>
          <w:rFonts w:ascii="仿宋_GB2312" w:hAnsi="仿宋_GB2312" w:cs="仿宋_GB2312" w:eastAsia="仿宋_GB2312"/>
          <w:sz w:val="24"/>
        </w:rPr>
        <w:t>第一次付款：签订合同后，甲方在收到发票后10个工作日内，支付合同金额的50%，即：人民币（¥）；</w:t>
      </w:r>
    </w:p>
    <w:p>
      <w:pPr>
        <w:pStyle w:val="null3"/>
        <w:ind w:firstLine="480"/>
        <w:jc w:val="both"/>
      </w:pPr>
      <w:r>
        <w:rPr>
          <w:rFonts w:ascii="仿宋_GB2312" w:hAnsi="仿宋_GB2312" w:cs="仿宋_GB2312" w:eastAsia="仿宋_GB2312"/>
          <w:sz w:val="24"/>
        </w:rPr>
        <w:t>第二次付款：项目验收通过并收到发票后10个工作日内，支付合同金额的50%，即：人民币（¥）；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付款方式：采用支票、银行汇付（含电汇）等形式。</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每笔款项支付，乙方应在甲方支付款项前向甲方提供相应金额的有效发票，且收款方、出具发票方、合同乙方均必须与中标人名称一致。若乙方迟延交付发票的，甲方相应顺延付款时间。</w:t>
      </w:r>
    </w:p>
    <w:p>
      <w:pPr>
        <w:pStyle w:val="null3"/>
        <w:numPr>
          <w:ilvl w:val="0"/>
          <w:numId w:val="1"/>
        </w:numPr>
        <w:jc w:val="left"/>
      </w:pPr>
      <w:r>
        <w:rPr>
          <w:rFonts w:ascii="仿宋_GB2312" w:hAnsi="仿宋_GB2312" w:cs="仿宋_GB2312" w:eastAsia="仿宋_GB2312"/>
          <w:sz w:val="24"/>
          <w:b/>
        </w:rPr>
        <w:t>甲方乙方的权利和义务</w:t>
      </w:r>
    </w:p>
    <w:p>
      <w:pPr>
        <w:pStyle w:val="null3"/>
        <w:jc w:val="both"/>
      </w:pPr>
      <w:r>
        <w:rPr>
          <w:rFonts w:ascii="仿宋_GB2312" w:hAnsi="仿宋_GB2312" w:cs="仿宋_GB2312" w:eastAsia="仿宋_GB2312"/>
          <w:sz w:val="24"/>
          <w:b/>
        </w:rPr>
        <w:t>（一）甲方权利与义务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甲方为乙方有效完成服务提供必要的支持，包括提供工作场所、系统运行软硬件环境、及时下达工作任务，为乙方更好地完成工作任务而协调必要的业务和技术支持。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对乙方不合格的项目成员，甲方有权要求乙方更换，不得空缺。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负责对该项目的验收工作，并出具验收报告。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按合同要求支付乙方相应阶段的费用。</w:t>
      </w:r>
    </w:p>
    <w:p>
      <w:pPr>
        <w:pStyle w:val="null3"/>
        <w:jc w:val="both"/>
      </w:pPr>
      <w:r>
        <w:rPr>
          <w:rFonts w:ascii="仿宋_GB2312" w:hAnsi="仿宋_GB2312" w:cs="仿宋_GB2312" w:eastAsia="仿宋_GB2312"/>
          <w:sz w:val="24"/>
          <w:b/>
        </w:rPr>
        <w:t>（二）乙方权利与义务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乙方保证提供的服务具有合法性，确保甲方不会因使用乙方的服务而产生法律风险。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乙方到甲方进行现场支持服务，应有甲方指定专人陪同，应遵守甲方规章制度，服从甲方管理和调度。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乙方提供服务时引起的各种安全事件和事故，乙方应予以赔偿并承担责任。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乙方不承担由于项目中非乙方人员原因所造成的服务延迟、服务质量或水平下降而带来的任何责任。</w:t>
      </w:r>
    </w:p>
    <w:p>
      <w:pPr>
        <w:pStyle w:val="null3"/>
        <w:numPr>
          <w:ilvl w:val="0"/>
          <w:numId w:val="1"/>
        </w:numPr>
        <w:jc w:val="left"/>
      </w:pPr>
      <w:r>
        <w:rPr>
          <w:rFonts w:ascii="仿宋_GB2312" w:hAnsi="仿宋_GB2312" w:cs="仿宋_GB2312" w:eastAsia="仿宋_GB2312"/>
          <w:sz w:val="24"/>
          <w:b/>
        </w:rPr>
        <w:t>验收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验收准入条件：</w:t>
      </w:r>
    </w:p>
    <w:p>
      <w:pPr>
        <w:pStyle w:val="null3"/>
        <w:ind w:firstLine="480"/>
        <w:jc w:val="both"/>
      </w:pPr>
      <w:r>
        <w:rPr>
          <w:rFonts w:ascii="仿宋_GB2312" w:hAnsi="仿宋_GB2312" w:cs="仿宋_GB2312" w:eastAsia="仿宋_GB2312"/>
          <w:sz w:val="24"/>
        </w:rPr>
        <w:t>本项目需求中包含的各项服务工作内容全部完成。</w:t>
      </w:r>
    </w:p>
    <w:p>
      <w:pPr>
        <w:pStyle w:val="null3"/>
        <w:ind w:firstLine="480"/>
        <w:jc w:val="both"/>
      </w:pPr>
      <w:r>
        <w:rPr>
          <w:rFonts w:ascii="仿宋_GB2312" w:hAnsi="仿宋_GB2312" w:cs="仿宋_GB2312" w:eastAsia="仿宋_GB2312"/>
          <w:sz w:val="24"/>
        </w:rPr>
        <w:t>需求对应的工作内容经过业务技术测试或试点运行，并将业务技术测试或试运行阶段出现的问题全部解决，测试或试运行单位出具业务技术测试报告或试运行通过的正式报告，服务工作符合采购需求。</w:t>
      </w:r>
    </w:p>
    <w:p>
      <w:pPr>
        <w:pStyle w:val="null3"/>
        <w:ind w:firstLine="480"/>
        <w:jc w:val="both"/>
      </w:pPr>
      <w:r>
        <w:rPr>
          <w:rFonts w:ascii="仿宋_GB2312" w:hAnsi="仿宋_GB2312" w:cs="仿宋_GB2312" w:eastAsia="仿宋_GB2312"/>
          <w:sz w:val="24"/>
        </w:rPr>
        <w:t>运营及数据处理服务过程中相关管理、技术文档通过甲方评审。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验收标准</w:t>
      </w:r>
    </w:p>
    <w:p>
      <w:pPr>
        <w:pStyle w:val="null3"/>
        <w:ind w:firstLine="480"/>
        <w:jc w:val="both"/>
      </w:pPr>
      <w:r>
        <w:rPr>
          <w:rFonts w:ascii="仿宋_GB2312" w:hAnsi="仿宋_GB2312" w:cs="仿宋_GB2312" w:eastAsia="仿宋_GB2312"/>
          <w:sz w:val="24"/>
        </w:rPr>
        <w:t>甲方以本项目需求相关内容为依据，作为项目验收标准。乙方是否按照本招标需求书中定义的各项服务内容和服务管理开展各项工作，工作流程和结果是否符合甲方质量管理要求，是否提交相关工作文档。</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验收流程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在合同有效期满后的30个工作日内，甲方、乙方就乙方提供服务进行验收。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乙方完成本项目需求书中全部服务工作内容，符合项目验收准入条件后，乙方可提出项目验收申请。</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乙方书面提出项目验收申请。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向甲方提交《项目工作总结报告》。</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向甲方整理提交项目需求实现相关管理、技术文档电子版文件。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甲方组织进行项目验收评审会议，对项目工作内容及文档进行验收评审。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项目验收评审通过后，甲方出具《项目验收报告书》。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验收交付成果物</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提交项目验收书</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提交移交物清单及移交物</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业务技术测试（或试运行）报告及文档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标准化规范文档</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效益评估报告</w:t>
      </w:r>
    </w:p>
    <w:p>
      <w:pPr>
        <w:pStyle w:val="null3"/>
        <w:numPr>
          <w:ilvl w:val="0"/>
          <w:numId w:val="1"/>
        </w:numPr>
        <w:jc w:val="left"/>
      </w:pPr>
      <w:r>
        <w:rPr>
          <w:rFonts w:ascii="仿宋_GB2312" w:hAnsi="仿宋_GB2312" w:cs="仿宋_GB2312" w:eastAsia="仿宋_GB2312"/>
          <w:sz w:val="24"/>
          <w:b/>
        </w:rPr>
        <w:t>违约责任与赔偿损失</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乙方提供的服务不符合本合同规定的，甲方有权拒绝，并且乙方须向甲方支付合同金额5%的违约金。</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乙方未能按本合同规定的时间提供服务，从逾期之日起每日按合同金额3‰的数额向甲方支付违约金；逾期半个月以上的，甲方有权终止合同，并且乙方须向甲方支付合同金额5%的违约金。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甲方无正当理由拒绝接受服务，到期拒付服务款项的，甲方向乙方偿付合同金额5%的违约金。甲方逾期付款，则每日按逾期款项的3‰向乙方偿付违约金。</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其它违约责任按《中华人民共和国民法典》处理。</w:t>
      </w:r>
    </w:p>
    <w:p>
      <w:pPr>
        <w:pStyle w:val="null3"/>
        <w:numPr>
          <w:ilvl w:val="0"/>
          <w:numId w:val="1"/>
        </w:numPr>
        <w:jc w:val="left"/>
      </w:pPr>
      <w:r>
        <w:rPr>
          <w:rFonts w:ascii="仿宋_GB2312" w:hAnsi="仿宋_GB2312" w:cs="仿宋_GB2312" w:eastAsia="仿宋_GB2312"/>
          <w:sz w:val="24"/>
          <w:b/>
        </w:rPr>
        <w:t>保密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甲方、乙方均不得向第三方泄露本合同内容及在本项目履行过程中获得的另一方的商业秘密及知识产权。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乙方应对在项目实施过程中接触到的甲方所有系统信息、工作资料等进行保密，不得以任何形式复制、带走或提供给任何其他个人或团体。乙方如违反本保密要求，甲方有权追究乙方的相关法律责任。</w:t>
      </w:r>
    </w:p>
    <w:p>
      <w:pPr>
        <w:pStyle w:val="null3"/>
        <w:numPr>
          <w:ilvl w:val="0"/>
          <w:numId w:val="1"/>
        </w:numPr>
        <w:jc w:val="left"/>
      </w:pPr>
      <w:r>
        <w:rPr>
          <w:rFonts w:ascii="仿宋_GB2312" w:hAnsi="仿宋_GB2312" w:cs="仿宋_GB2312" w:eastAsia="仿宋_GB2312"/>
          <w:sz w:val="24"/>
          <w:b/>
        </w:rPr>
        <w:t>知识产权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乙方在服务过程中产生的所有技术资料、提交件及其他类别的知识产权均归甲方所有。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乙方交付给甲方的成果不得侵犯第三方的合法权益。如果甲方因使用本项目成果或其中一部分而被第三方起诉侵犯其专利权、商标权或其它知识产权，乙方将依法承担相应的法律责任。</w:t>
      </w:r>
    </w:p>
    <w:p>
      <w:pPr>
        <w:pStyle w:val="null3"/>
        <w:numPr>
          <w:ilvl w:val="0"/>
          <w:numId w:val="1"/>
        </w:numPr>
        <w:jc w:val="left"/>
      </w:pP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乙方不得另行开发本合同业务需求范围内、供纳税人(或缴费人)使用的软件,如有违反，甲方将乙方纳入税务系统信息化服务商失信名单。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乙方应建立防止违法违规聘用离职税务人员的风险控制制度。乙方违法违规聘用离职税务人员的，甲方有权采取以下一项或多项措施：</w:t>
      </w:r>
    </w:p>
    <w:p>
      <w:pPr>
        <w:pStyle w:val="null3"/>
        <w:ind w:firstLine="480"/>
        <w:jc w:val="both"/>
      </w:pPr>
      <w:r>
        <w:rPr>
          <w:rFonts w:ascii="仿宋_GB2312" w:hAnsi="仿宋_GB2312" w:cs="仿宋_GB2312" w:eastAsia="仿宋_GB2312"/>
          <w:sz w:val="24"/>
        </w:rPr>
        <w:t>（1）甲方要求乙方限期改正；</w:t>
      </w:r>
    </w:p>
    <w:p>
      <w:pPr>
        <w:pStyle w:val="null3"/>
        <w:ind w:firstLine="480"/>
        <w:jc w:val="both"/>
      </w:pPr>
      <w:r>
        <w:rPr>
          <w:rFonts w:ascii="仿宋_GB2312" w:hAnsi="仿宋_GB2312" w:cs="仿宋_GB2312" w:eastAsia="仿宋_GB2312"/>
          <w:sz w:val="24"/>
        </w:rPr>
        <w:t>（2）乙方按合同总价10%的数额向甲方支付违约金；</w:t>
      </w:r>
    </w:p>
    <w:p>
      <w:pPr>
        <w:pStyle w:val="null3"/>
        <w:ind w:firstLine="480"/>
        <w:jc w:val="both"/>
      </w:pPr>
      <w:r>
        <w:rPr>
          <w:rFonts w:ascii="仿宋_GB2312" w:hAnsi="仿宋_GB2312" w:cs="仿宋_GB2312" w:eastAsia="仿宋_GB2312"/>
          <w:sz w:val="24"/>
        </w:rPr>
        <w:t>（3）乙方3年内不得参加所聘人员原单位及下属单位的信息化项目政府采购活动；</w:t>
      </w:r>
    </w:p>
    <w:p>
      <w:pPr>
        <w:pStyle w:val="null3"/>
        <w:ind w:firstLine="480"/>
        <w:jc w:val="both"/>
      </w:pPr>
      <w:r>
        <w:rPr>
          <w:rFonts w:ascii="仿宋_GB2312" w:hAnsi="仿宋_GB2312" w:cs="仿宋_GB2312" w:eastAsia="仿宋_GB2312"/>
          <w:sz w:val="24"/>
        </w:rPr>
        <w:t>（4）甲方有权解除部分或全部合同。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firstLine="600"/>
        <w:jc w:val="both"/>
      </w:pPr>
      <w:r>
        <w:rPr>
          <w:rFonts w:ascii="仿宋_GB2312" w:hAnsi="仿宋_GB2312" w:cs="仿宋_GB2312" w:eastAsia="仿宋_GB2312"/>
          <w:sz w:val="24"/>
        </w:rPr>
        <w:t>4.</w:t>
      </w:r>
      <w:r>
        <w:rPr>
          <w:rFonts w:ascii="仿宋_GB2312" w:hAnsi="仿宋_GB2312" w:cs="仿宋_GB2312" w:eastAsia="仿宋_GB2312"/>
          <w:sz w:val="24"/>
        </w:rPr>
        <w:t>乙方在本项目实施过程中发生违反网络安全规定行为，造成数据失窃或丢失、敏感信息泄露、主要业务系统瘫痪等不良后果的，自甲方或甲方主管机关做出认定之日起三年内，税务系统各单位可以拒绝乙方参与税务系统政府采购活动。</w:t>
      </w:r>
    </w:p>
    <w:p>
      <w:pPr>
        <w:pStyle w:val="null3"/>
        <w:numPr>
          <w:ilvl w:val="0"/>
          <w:numId w:val="1"/>
        </w:numPr>
        <w:jc w:val="left"/>
      </w:pPr>
      <w:r>
        <w:rPr>
          <w:rFonts w:ascii="仿宋_GB2312" w:hAnsi="仿宋_GB2312" w:cs="仿宋_GB2312" w:eastAsia="仿宋_GB2312"/>
          <w:sz w:val="24"/>
          <w:b/>
        </w:rPr>
        <w:t>争议的解决</w:t>
      </w:r>
    </w:p>
    <w:p>
      <w:pPr>
        <w:pStyle w:val="null3"/>
        <w:ind w:firstLine="480"/>
        <w:jc w:val="both"/>
      </w:pPr>
      <w:r>
        <w:rPr>
          <w:rFonts w:ascii="仿宋_GB2312" w:hAnsi="仿宋_GB2312" w:cs="仿宋_GB2312" w:eastAsia="仿宋_GB2312"/>
          <w:sz w:val="24"/>
        </w:rPr>
        <w:t>双方因履行本合同所发生的一切争议，应通过友好协商解决；如协商解决不成，可向甲方所在地法院提起诉讼。</w:t>
      </w:r>
    </w:p>
    <w:p>
      <w:pPr>
        <w:pStyle w:val="null3"/>
        <w:numPr>
          <w:ilvl w:val="0"/>
          <w:numId w:val="1"/>
        </w:numPr>
        <w:jc w:val="left"/>
      </w:pPr>
      <w:r>
        <w:rPr>
          <w:rFonts w:ascii="仿宋_GB2312" w:hAnsi="仿宋_GB2312" w:cs="仿宋_GB2312" w:eastAsia="仿宋_GB2312"/>
          <w:sz w:val="24"/>
          <w:b/>
        </w:rPr>
        <w:t>不可抗力</w:t>
      </w:r>
    </w:p>
    <w:p>
      <w:pPr>
        <w:pStyle w:val="null3"/>
        <w:ind w:firstLine="480"/>
        <w:jc w:val="both"/>
      </w:pPr>
      <w:r>
        <w:rPr>
          <w:rFonts w:ascii="仿宋_GB2312" w:hAnsi="仿宋_GB2312" w:cs="仿宋_GB2312" w:eastAsia="仿宋_GB2312"/>
          <w:sz w:val="24"/>
        </w:rPr>
        <w:t>签约双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left"/>
      </w:pPr>
      <w:r>
        <w:rPr>
          <w:rFonts w:ascii="仿宋_GB2312" w:hAnsi="仿宋_GB2312" w:cs="仿宋_GB2312" w:eastAsia="仿宋_GB2312"/>
          <w:sz w:val="24"/>
          <w:b/>
        </w:rPr>
        <w:t>税费</w:t>
      </w:r>
    </w:p>
    <w:p>
      <w:pPr>
        <w:pStyle w:val="null3"/>
        <w:ind w:firstLine="480"/>
        <w:jc w:val="both"/>
      </w:pPr>
      <w:r>
        <w:rPr>
          <w:rFonts w:ascii="仿宋_GB2312" w:hAnsi="仿宋_GB2312" w:cs="仿宋_GB2312" w:eastAsia="仿宋_GB2312"/>
          <w:sz w:val="24"/>
        </w:rPr>
        <w:t>在中国境内、外发生的与本合同执行有关的一切税费均由乙方负担。（印花税除外，书立合同的各方各自按规定缴纳印花税）</w:t>
      </w:r>
    </w:p>
    <w:p>
      <w:pPr>
        <w:pStyle w:val="null3"/>
        <w:numPr>
          <w:ilvl w:val="0"/>
          <w:numId w:val="1"/>
        </w:numPr>
        <w:jc w:val="left"/>
      </w:pPr>
      <w:r>
        <w:rPr>
          <w:rFonts w:ascii="仿宋_GB2312" w:hAnsi="仿宋_GB2312" w:cs="仿宋_GB2312" w:eastAsia="仿宋_GB2312"/>
          <w:sz w:val="24"/>
          <w:b/>
        </w:rPr>
        <w:t>其它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在执行本合同的过程中，所有经双方签署确认的文件（包括会议纪要、补充协议、往来信函）即成为本合同的有效组成部分。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如一方地址、电话、传真号码有变更，应在变更当日内书面通知对方，否则，应承担相应责任。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除甲方事先书面同意外，乙方不得部分或全部转让其应履行的合同项下的义务。</w:t>
      </w:r>
    </w:p>
    <w:p>
      <w:pPr>
        <w:pStyle w:val="null3"/>
        <w:numPr>
          <w:ilvl w:val="0"/>
          <w:numId w:val="1"/>
        </w:numPr>
        <w:jc w:val="left"/>
      </w:pPr>
      <w:r>
        <w:rPr>
          <w:rFonts w:ascii="仿宋_GB2312" w:hAnsi="仿宋_GB2312" w:cs="仿宋_GB2312" w:eastAsia="仿宋_GB2312"/>
          <w:sz w:val="24"/>
          <w:b/>
        </w:rPr>
        <w:t>合同生效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本合同在甲乙双方法人代表或其授权代表签字盖章后生效。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本合同一式 </w:t>
      </w:r>
      <w:r>
        <w:rPr>
          <w:rFonts w:ascii="仿宋_GB2312" w:hAnsi="仿宋_GB2312" w:cs="仿宋_GB2312" w:eastAsia="仿宋_GB2312"/>
          <w:sz w:val="24"/>
          <w:u w:val="single"/>
        </w:rPr>
        <w:t>肆</w:t>
      </w:r>
      <w:r>
        <w:rPr>
          <w:rFonts w:ascii="仿宋_GB2312" w:hAnsi="仿宋_GB2312" w:cs="仿宋_GB2312" w:eastAsia="仿宋_GB2312"/>
          <w:sz w:val="24"/>
        </w:rPr>
        <w:t xml:space="preserve"> 份，双方各执 </w:t>
      </w:r>
      <w:r>
        <w:rPr>
          <w:rFonts w:ascii="仿宋_GB2312" w:hAnsi="仿宋_GB2312" w:cs="仿宋_GB2312" w:eastAsia="仿宋_GB2312"/>
          <w:sz w:val="24"/>
          <w:u w:val="single"/>
        </w:rPr>
        <w:t>贰</w:t>
      </w:r>
      <w:r>
        <w:rPr>
          <w:rFonts w:ascii="仿宋_GB2312" w:hAnsi="仿宋_GB2312" w:cs="仿宋_GB2312" w:eastAsia="仿宋_GB2312"/>
          <w:sz w:val="24"/>
        </w:rPr>
        <w:t xml:space="preserve"> 份，具有同等法律效力。</w:t>
      </w:r>
    </w:p>
    <w:p>
      <w:pPr>
        <w:pStyle w:val="null3"/>
        <w:jc w:val="both"/>
      </w:pPr>
      <w:r>
        <w:rPr>
          <w:rFonts w:ascii="仿宋_GB2312" w:hAnsi="仿宋_GB2312" w:cs="仿宋_GB2312" w:eastAsia="仿宋_GB2312"/>
          <w:sz w:val="24"/>
        </w:rPr>
        <w:t>甲方（盖章）：                         乙方（盖章）：</w:t>
      </w:r>
    </w:p>
    <w:p>
      <w:pPr>
        <w:pStyle w:val="null3"/>
        <w:jc w:val="both"/>
      </w:pPr>
      <w:r>
        <w:rPr>
          <w:rFonts w:ascii="仿宋_GB2312" w:hAnsi="仿宋_GB2312" w:cs="仿宋_GB2312" w:eastAsia="仿宋_GB2312"/>
          <w:sz w:val="24"/>
        </w:rPr>
        <w:t xml:space="preserve">国家税务总局广州市税务局              </w:t>
      </w:r>
    </w:p>
    <w:p>
      <w:pPr>
        <w:pStyle w:val="null3"/>
        <w:jc w:val="both"/>
      </w:pPr>
      <w:r>
        <w:rPr>
          <w:rFonts w:ascii="仿宋_GB2312" w:hAnsi="仿宋_GB2312" w:cs="仿宋_GB2312" w:eastAsia="仿宋_GB2312"/>
          <w:sz w:val="24"/>
        </w:rPr>
        <w:t>法定代表人：                          法定代表人：</w:t>
      </w:r>
    </w:p>
    <w:p>
      <w:pPr>
        <w:pStyle w:val="null3"/>
        <w:jc w:val="both"/>
      </w:pPr>
      <w:r>
        <w:rPr>
          <w:rFonts w:ascii="仿宋_GB2312" w:hAnsi="仿宋_GB2312" w:cs="仿宋_GB2312" w:eastAsia="仿宋_GB2312"/>
          <w:sz w:val="24"/>
        </w:rPr>
        <w:t>授权代表：                            授权代表</w:t>
      </w:r>
    </w:p>
    <w:p>
      <w:pPr>
        <w:pStyle w:val="null3"/>
        <w:jc w:val="both"/>
      </w:pPr>
      <w:r>
        <w:rPr>
          <w:rFonts w:ascii="仿宋_GB2312" w:hAnsi="仿宋_GB2312" w:cs="仿宋_GB2312" w:eastAsia="仿宋_GB2312"/>
          <w:sz w:val="24"/>
        </w:rPr>
        <w:t>签定地点：                            签定地点：</w:t>
      </w:r>
    </w:p>
    <w:p>
      <w:pPr>
        <w:pStyle w:val="null3"/>
        <w:jc w:val="both"/>
      </w:pPr>
      <w:r>
        <w:rPr>
          <w:rFonts w:ascii="仿宋_GB2312" w:hAnsi="仿宋_GB2312" w:cs="仿宋_GB2312" w:eastAsia="仿宋_GB2312"/>
          <w:sz w:val="24"/>
        </w:rPr>
        <w:t>签定日期：   年　 月 　日             签定日期： 　年 　月 　日</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开户名称：</w:t>
      </w:r>
    </w:p>
    <w:p>
      <w:pPr>
        <w:pStyle w:val="null3"/>
        <w:ind w:left="4200"/>
        <w:jc w:val="left"/>
      </w:pPr>
      <w:r>
        <w:rPr>
          <w:rFonts w:ascii="仿宋_GB2312" w:hAnsi="仿宋_GB2312" w:cs="仿宋_GB2312" w:eastAsia="仿宋_GB2312"/>
          <w:sz w:val="24"/>
        </w:rPr>
        <w:t>开户行：</w:t>
      </w:r>
    </w:p>
    <w:p>
      <w:pPr>
        <w:pStyle w:val="null3"/>
        <w:ind w:left="4200"/>
        <w:jc w:val="left"/>
      </w:pPr>
      <w:r>
        <w:rPr>
          <w:rFonts w:ascii="仿宋_GB2312" w:hAnsi="仿宋_GB2312" w:cs="仿宋_GB2312" w:eastAsia="仿宋_GB2312"/>
          <w:sz w:val="24"/>
        </w:rPr>
        <w:t xml:space="preserve">银行帐号： </w:t>
      </w:r>
    </w:p>
    <w:p>
      <w:pPr>
        <w:pStyle w:val="null3"/>
        <w:ind w:right="-1110" w:firstLine="4535"/>
        <w:jc w:val="both"/>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国家税务总局广州市税务局广州市数字政府对接技术支持服务项目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GPCGD24C500FG177F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国家税务总局广州市税务局广州市数字政府对接技术支持服务项目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GPCGD24C500FG177F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国家税务总局广州市税务局广州市数字政府对接技术支持服务项目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国家税务总局广州市税务局广州市数字政府对接技术支持服务项目</w:t>
      </w:r>
      <w:r>
        <w:rPr>
          <w:rFonts w:ascii="仿宋_GB2312" w:hAnsi="仿宋_GB2312" w:cs="仿宋_GB2312" w:eastAsia="仿宋_GB2312"/>
        </w:rPr>
        <w:t>”项目采购[采购项目编号为</w:t>
      </w:r>
      <w:r>
        <w:rPr>
          <w:rFonts w:ascii="仿宋_GB2312" w:hAnsi="仿宋_GB2312" w:cs="仿宋_GB2312" w:eastAsia="仿宋_GB2312"/>
        </w:rPr>
        <w:t>GPCGD24C500FG177F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国家税务总局广州市税务局广州市数字政府对接技术支持服务项目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GPCGD24C500FG177F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国家税务总局广州市税务局广州市数字政府对接技术支持服务项目</w:t>
      </w:r>
      <w:r>
        <w:rPr>
          <w:rFonts w:ascii="仿宋_GB2312" w:hAnsi="仿宋_GB2312" w:cs="仿宋_GB2312" w:eastAsia="仿宋_GB2312"/>
        </w:rPr>
        <w:t>”项目（采购项目编号：</w:t>
      </w:r>
      <w:r>
        <w:rPr>
          <w:rFonts w:ascii="仿宋_GB2312" w:hAnsi="仿宋_GB2312" w:cs="仿宋_GB2312" w:eastAsia="仿宋_GB2312"/>
        </w:rPr>
        <w:t>GPCGD24C500FG177F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